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75" w:lineRule="atLeast"/>
        <w:jc w:val="center"/>
        <w:rPr>
          <w:rFonts w:ascii="宋体" w:hAnsi="宋体"/>
          <w:b/>
          <w:bCs/>
          <w:color w:val="000000"/>
          <w:sz w:val="48"/>
          <w:szCs w:val="32"/>
        </w:rPr>
      </w:pPr>
    </w:p>
    <w:p>
      <w:pPr>
        <w:widowControl/>
        <w:spacing w:line="375" w:lineRule="atLeast"/>
        <w:jc w:val="center"/>
        <w:rPr>
          <w:rFonts w:ascii="宋体" w:hAnsi="宋体"/>
          <w:b/>
          <w:bCs/>
          <w:color w:val="000000"/>
          <w:sz w:val="48"/>
          <w:szCs w:val="32"/>
        </w:rPr>
      </w:pPr>
    </w:p>
    <w:p>
      <w:pPr>
        <w:widowControl/>
        <w:ind w:firstLine="803" w:firstLineChars="200"/>
        <w:jc w:val="center"/>
        <w:rPr>
          <w:rFonts w:asciiTheme="majorEastAsia" w:hAnsiTheme="majorEastAsia" w:eastAsiaTheme="majorEastAsia"/>
          <w:b/>
          <w:sz w:val="40"/>
          <w:szCs w:val="40"/>
        </w:rPr>
      </w:pPr>
      <w:r>
        <w:rPr>
          <w:rFonts w:hint="eastAsia" w:asciiTheme="majorEastAsia" w:hAnsiTheme="majorEastAsia" w:eastAsiaTheme="majorEastAsia"/>
          <w:b/>
          <w:sz w:val="40"/>
          <w:szCs w:val="40"/>
        </w:rPr>
        <w:t>济南市济阳区人民医院单病种监测上报系统采购项目</w:t>
      </w:r>
    </w:p>
    <w:p>
      <w:pPr>
        <w:widowControl/>
        <w:ind w:firstLine="643" w:firstLineChars="200"/>
        <w:jc w:val="center"/>
        <w:rPr>
          <w:rFonts w:hint="default" w:ascii="宋体" w:hAnsi="宋体" w:eastAsia="宋体"/>
          <w:b/>
          <w:bCs/>
          <w:color w:val="FF0000"/>
          <w:sz w:val="32"/>
          <w:lang w:val="en-US" w:eastAsia="zh-CN"/>
        </w:rPr>
      </w:pPr>
      <w:r>
        <w:rPr>
          <w:rFonts w:hint="eastAsia" w:ascii="宋体" w:hAnsi="宋体"/>
          <w:b/>
          <w:bCs/>
          <w:color w:val="FF0000"/>
          <w:sz w:val="32"/>
        </w:rPr>
        <w:t>项目编号：</w:t>
      </w:r>
      <w:r>
        <w:rPr>
          <w:rFonts w:hint="eastAsia" w:ascii="宋体" w:hAnsi="宋体"/>
          <w:b/>
          <w:bCs/>
          <w:color w:val="FF0000"/>
          <w:sz w:val="32"/>
          <w:lang w:val="en-US" w:eastAsia="zh-CN"/>
        </w:rPr>
        <w:t>2021-01-01</w:t>
      </w:r>
    </w:p>
    <w:p>
      <w:pPr>
        <w:spacing w:line="360" w:lineRule="auto"/>
        <w:jc w:val="both"/>
        <w:rPr>
          <w:rFonts w:hint="eastAsia" w:ascii="黑体" w:hAnsi="黑体" w:eastAsia="黑体" w:cs="黑体"/>
          <w:b/>
          <w:color w:val="000000"/>
          <w:sz w:val="52"/>
          <w:szCs w:val="52"/>
          <w:lang w:val="en-US" w:eastAsia="zh-CN"/>
        </w:rPr>
      </w:pPr>
    </w:p>
    <w:p>
      <w:pPr>
        <w:spacing w:line="360" w:lineRule="auto"/>
        <w:jc w:val="center"/>
        <w:rPr>
          <w:rFonts w:hint="eastAsia" w:ascii="黑体" w:hAnsi="黑体" w:eastAsia="黑体" w:cs="黑体"/>
          <w:b/>
          <w:color w:val="000000"/>
          <w:sz w:val="52"/>
          <w:szCs w:val="52"/>
          <w:lang w:val="en-US" w:eastAsia="zh-CN"/>
        </w:rPr>
      </w:pPr>
      <w:r>
        <w:rPr>
          <w:rFonts w:hint="eastAsia" w:ascii="黑体" w:hAnsi="黑体" w:eastAsia="黑体" w:cs="黑体"/>
          <w:b/>
          <w:color w:val="000000"/>
          <w:sz w:val="52"/>
          <w:szCs w:val="52"/>
          <w:lang w:val="en-US" w:eastAsia="zh-CN"/>
        </w:rPr>
        <w:t>招</w:t>
      </w:r>
    </w:p>
    <w:p>
      <w:pPr>
        <w:spacing w:line="360" w:lineRule="auto"/>
        <w:jc w:val="center"/>
        <w:rPr>
          <w:rFonts w:hint="eastAsia" w:ascii="黑体" w:hAnsi="黑体" w:eastAsia="黑体" w:cs="黑体"/>
          <w:b/>
          <w:color w:val="000000"/>
          <w:sz w:val="52"/>
          <w:szCs w:val="52"/>
          <w:lang w:val="en-US" w:eastAsia="zh-CN"/>
        </w:rPr>
      </w:pPr>
      <w:r>
        <w:rPr>
          <w:rFonts w:hint="eastAsia" w:ascii="黑体" w:hAnsi="黑体" w:eastAsia="黑体" w:cs="黑体"/>
          <w:b/>
          <w:color w:val="000000"/>
          <w:sz w:val="52"/>
          <w:szCs w:val="52"/>
          <w:lang w:val="en-US" w:eastAsia="zh-CN"/>
        </w:rPr>
        <w:t>标</w:t>
      </w:r>
    </w:p>
    <w:p>
      <w:pPr>
        <w:spacing w:line="360" w:lineRule="auto"/>
        <w:jc w:val="center"/>
        <w:rPr>
          <w:rFonts w:ascii="黑体" w:hAnsi="黑体" w:eastAsia="黑体" w:cs="黑体"/>
          <w:b/>
          <w:color w:val="000000"/>
          <w:sz w:val="52"/>
          <w:szCs w:val="52"/>
        </w:rPr>
      </w:pPr>
      <w:r>
        <w:rPr>
          <w:rFonts w:hint="eastAsia" w:ascii="黑体" w:hAnsi="黑体" w:eastAsia="黑体" w:cs="黑体"/>
          <w:b/>
          <w:color w:val="000000"/>
          <w:sz w:val="52"/>
          <w:szCs w:val="52"/>
        </w:rPr>
        <w:t>文</w:t>
      </w:r>
    </w:p>
    <w:p>
      <w:pPr>
        <w:spacing w:line="360" w:lineRule="auto"/>
        <w:jc w:val="center"/>
        <w:rPr>
          <w:rFonts w:hint="eastAsia" w:ascii="黑体" w:hAnsi="黑体" w:eastAsia="黑体" w:cs="黑体"/>
          <w:b/>
          <w:color w:val="000000"/>
          <w:sz w:val="52"/>
          <w:szCs w:val="52"/>
        </w:rPr>
      </w:pPr>
      <w:r>
        <w:rPr>
          <w:rFonts w:hint="eastAsia" w:ascii="黑体" w:hAnsi="黑体" w:eastAsia="黑体" w:cs="黑体"/>
          <w:b/>
          <w:color w:val="000000"/>
          <w:sz w:val="52"/>
          <w:szCs w:val="52"/>
        </w:rPr>
        <w:t>件</w:t>
      </w:r>
    </w:p>
    <w:p>
      <w:pPr>
        <w:spacing w:line="360" w:lineRule="auto"/>
        <w:jc w:val="center"/>
        <w:rPr>
          <w:rFonts w:hint="eastAsia" w:ascii="黑体" w:hAnsi="黑体" w:eastAsia="黑体" w:cs="黑体"/>
          <w:b/>
          <w:color w:val="000000"/>
          <w:sz w:val="52"/>
          <w:szCs w:val="52"/>
        </w:rPr>
      </w:pPr>
    </w:p>
    <w:p>
      <w:pPr>
        <w:spacing w:line="360" w:lineRule="auto"/>
        <w:rPr>
          <w:rFonts w:ascii="宋体" w:hAnsi="宋体" w:cs="宋体"/>
          <w:b/>
          <w:color w:val="000000"/>
          <w:sz w:val="24"/>
        </w:rPr>
      </w:pPr>
    </w:p>
    <w:p>
      <w:pPr>
        <w:spacing w:line="360" w:lineRule="auto"/>
        <w:jc w:val="center"/>
        <w:rPr>
          <w:rFonts w:ascii="宋体" w:hAnsi="宋体" w:cs="宋体"/>
          <w:b/>
          <w:color w:val="000000"/>
          <w:sz w:val="24"/>
        </w:rPr>
      </w:pPr>
    </w:p>
    <w:p>
      <w:pPr>
        <w:widowControl/>
        <w:shd w:val="clear" w:color="auto" w:fill="FFFFFF"/>
        <w:spacing w:line="357" w:lineRule="atLeast"/>
        <w:ind w:firstLine="2371" w:firstLineChars="984"/>
        <w:jc w:val="left"/>
        <w:rPr>
          <w:rFonts w:ascii="宋体" w:hAnsi="宋体" w:cs="宋体"/>
          <w:b/>
          <w:color w:val="000000"/>
          <w:sz w:val="24"/>
        </w:rPr>
      </w:pPr>
    </w:p>
    <w:p>
      <w:pPr>
        <w:widowControl/>
        <w:shd w:val="clear" w:color="auto" w:fill="FFFFFF"/>
        <w:spacing w:line="357" w:lineRule="atLeast"/>
        <w:ind w:firstLine="2371" w:firstLineChars="984"/>
        <w:jc w:val="left"/>
        <w:rPr>
          <w:rFonts w:ascii="宋体" w:hAnsi="宋体" w:cs="宋体"/>
          <w:b/>
          <w:color w:val="000000"/>
          <w:sz w:val="24"/>
        </w:rPr>
      </w:pPr>
      <w:r>
        <w:rPr>
          <w:rFonts w:hint="eastAsia" w:ascii="宋体" w:hAnsi="宋体" w:cs="宋体"/>
          <w:b/>
          <w:color w:val="000000"/>
          <w:sz w:val="24"/>
        </w:rPr>
        <w:t>招    标   人：济南市济阳区人民医院</w:t>
      </w:r>
    </w:p>
    <w:p>
      <w:pPr>
        <w:widowControl/>
        <w:shd w:val="clear" w:color="auto" w:fill="FFFFFF"/>
        <w:spacing w:line="357" w:lineRule="atLeast"/>
        <w:ind w:firstLine="1169" w:firstLineChars="485"/>
        <w:jc w:val="left"/>
        <w:rPr>
          <w:rFonts w:ascii="宋体" w:hAnsi="宋体" w:cs="宋体"/>
          <w:b/>
          <w:color w:val="000000"/>
          <w:sz w:val="24"/>
        </w:rPr>
      </w:pPr>
    </w:p>
    <w:p>
      <w:pPr>
        <w:widowControl/>
        <w:spacing w:line="375" w:lineRule="atLeast"/>
        <w:ind w:firstLine="1205" w:firstLineChars="500"/>
        <w:rPr>
          <w:rFonts w:ascii="宋体" w:hAnsi="宋体" w:cs="宋体"/>
          <w:b/>
          <w:color w:val="000000"/>
          <w:sz w:val="24"/>
        </w:rPr>
      </w:pPr>
      <w:r>
        <w:rPr>
          <w:rFonts w:hint="eastAsia" w:ascii="宋体" w:hAnsi="宋体" w:cs="宋体"/>
          <w:b/>
          <w:color w:val="000000"/>
          <w:sz w:val="24"/>
        </w:rPr>
        <w:t xml:space="preserve">         </w:t>
      </w:r>
    </w:p>
    <w:p>
      <w:pPr>
        <w:widowControl/>
        <w:spacing w:line="375" w:lineRule="atLeast"/>
        <w:ind w:firstLine="2409" w:firstLineChars="1000"/>
        <w:rPr>
          <w:rFonts w:ascii="宋体" w:hAnsi="宋体" w:cs="宋体"/>
          <w:b/>
          <w:color w:val="000000"/>
          <w:sz w:val="24"/>
        </w:rPr>
      </w:pPr>
      <w:r>
        <w:rPr>
          <w:rFonts w:hint="eastAsia" w:ascii="宋体" w:hAnsi="宋体" w:cs="宋体"/>
          <w:b/>
          <w:color w:val="000000"/>
          <w:sz w:val="24"/>
        </w:rPr>
        <w:t>编  制  日 期：2021年1月</w:t>
      </w:r>
    </w:p>
    <w:p>
      <w:pPr>
        <w:rPr>
          <w:color w:val="000000"/>
        </w:rPr>
        <w:sectPr>
          <w:headerReference r:id="rId3" w:type="default"/>
          <w:footerReference r:id="rId4" w:type="default"/>
          <w:footerReference r:id="rId5" w:type="even"/>
          <w:pgSz w:w="11906" w:h="16838"/>
          <w:pgMar w:top="1701" w:right="1134" w:bottom="1440" w:left="1440" w:header="851" w:footer="992" w:gutter="0"/>
          <w:cols w:space="720" w:num="1"/>
          <w:docGrid w:type="lines" w:linePitch="312" w:charSpace="0"/>
        </w:sectPr>
      </w:pPr>
    </w:p>
    <w:p>
      <w:pPr>
        <w:pStyle w:val="3"/>
        <w:spacing w:before="100" w:after="100" w:line="240" w:lineRule="auto"/>
        <w:jc w:val="center"/>
        <w:rPr>
          <w:bCs w:val="0"/>
          <w:color w:val="000000"/>
          <w:sz w:val="44"/>
          <w:szCs w:val="44"/>
        </w:rPr>
      </w:pPr>
      <w:bookmarkStart w:id="0" w:name="_Toc454468466"/>
      <w:bookmarkStart w:id="1" w:name="_Toc499731914"/>
      <w:bookmarkStart w:id="2" w:name="_Toc454464790"/>
      <w:bookmarkStart w:id="3" w:name="_Toc184635071"/>
      <w:bookmarkStart w:id="4" w:name="_Toc268600452"/>
      <w:bookmarkStart w:id="5" w:name="_Toc454468351"/>
      <w:r>
        <w:rPr>
          <w:rFonts w:hint="eastAsia"/>
          <w:bCs w:val="0"/>
          <w:color w:val="000000"/>
          <w:sz w:val="44"/>
          <w:szCs w:val="44"/>
        </w:rPr>
        <w:t>第一章 总则及说明</w:t>
      </w:r>
    </w:p>
    <w:p>
      <w:pPr>
        <w:pStyle w:val="4"/>
        <w:spacing w:before="60" w:after="60" w:line="240" w:lineRule="auto"/>
        <w:rPr>
          <w:b w:val="0"/>
          <w:color w:val="000000"/>
        </w:rPr>
      </w:pPr>
      <w:bookmarkStart w:id="6" w:name="_Toc454468352"/>
      <w:bookmarkStart w:id="7" w:name="_Toc499731915"/>
      <w:r>
        <w:rPr>
          <w:rFonts w:hint="eastAsia"/>
          <w:b w:val="0"/>
          <w:color w:val="000000"/>
        </w:rPr>
        <w:t>1.1 说明</w:t>
      </w:r>
      <w:bookmarkEnd w:id="6"/>
      <w:bookmarkEnd w:id="7"/>
    </w:p>
    <w:p>
      <w:pPr>
        <w:spacing w:line="360" w:lineRule="auto"/>
        <w:ind w:firstLine="420" w:firstLineChars="200"/>
        <w:rPr>
          <w:rFonts w:ascii="宋体" w:hAnsi="宋体"/>
          <w:color w:val="000000"/>
          <w:szCs w:val="21"/>
        </w:rPr>
      </w:pPr>
      <w:bookmarkStart w:id="8" w:name="_Toc268502262"/>
      <w:r>
        <w:rPr>
          <w:rFonts w:hint="eastAsia" w:ascii="宋体" w:hAnsi="宋体"/>
          <w:color w:val="000000"/>
          <w:szCs w:val="21"/>
        </w:rPr>
        <w:t>1.1.1 定义</w:t>
      </w:r>
      <w:bookmarkEnd w:id="8"/>
    </w:p>
    <w:p>
      <w:pPr>
        <w:widowControl/>
        <w:shd w:val="clear" w:color="auto" w:fill="FFFFFF"/>
        <w:spacing w:line="357" w:lineRule="atLeast"/>
        <w:ind w:firstLine="420" w:firstLineChars="200"/>
        <w:jc w:val="left"/>
        <w:rPr>
          <w:rFonts w:ascii="lucida Grande" w:hAnsi="lucida Grande" w:eastAsia="lucida Grande" w:cs="lucida Grande"/>
          <w:color w:val="000000"/>
          <w:szCs w:val="21"/>
        </w:rPr>
      </w:pPr>
      <w:r>
        <w:rPr>
          <w:rFonts w:hint="eastAsia" w:ascii="宋体" w:hAnsi="宋体"/>
          <w:color w:val="000000"/>
          <w:szCs w:val="21"/>
        </w:rPr>
        <w:t>（1）“采购人”：</w:t>
      </w:r>
      <w:r>
        <w:rPr>
          <w:rFonts w:ascii="lucida Grande" w:hAnsi="lucida Grande" w:eastAsia="lucida Grande" w:cs="lucida Grande"/>
          <w:color w:val="000000"/>
          <w:kern w:val="0"/>
          <w:szCs w:val="21"/>
          <w:shd w:val="clear" w:color="auto" w:fill="FFFFFF"/>
        </w:rPr>
        <w:t xml:space="preserve"> </w:t>
      </w:r>
      <w:r>
        <w:rPr>
          <w:rFonts w:hint="eastAsia" w:ascii="宋体" w:hAnsi="宋体" w:cs="宋体"/>
          <w:color w:val="000000"/>
          <w:kern w:val="0"/>
          <w:szCs w:val="21"/>
          <w:shd w:val="clear" w:color="auto" w:fill="FFFFFF"/>
        </w:rPr>
        <w:t>济南市济阳区人民医院</w:t>
      </w:r>
      <w:r>
        <w:rPr>
          <w:rFonts w:hint="eastAsia" w:ascii="宋体" w:hAnsi="宋体" w:cs="宋体"/>
          <w:color w:val="000000"/>
        </w:rPr>
        <w:t>。</w:t>
      </w:r>
    </w:p>
    <w:p>
      <w:pPr>
        <w:spacing w:line="360" w:lineRule="auto"/>
        <w:ind w:firstLine="420" w:firstLineChars="200"/>
        <w:rPr>
          <w:rFonts w:ascii="宋体" w:hAnsi="宋体"/>
          <w:color w:val="000000"/>
          <w:szCs w:val="21"/>
        </w:rPr>
      </w:pPr>
      <w:r>
        <w:rPr>
          <w:rFonts w:hint="eastAsia" w:ascii="宋体" w:hAnsi="宋体"/>
          <w:color w:val="000000"/>
          <w:szCs w:val="21"/>
        </w:rPr>
        <w:t>（2）“投标人”：符合邀请函投标人资格的供应商。</w:t>
      </w:r>
    </w:p>
    <w:p>
      <w:pPr>
        <w:spacing w:line="360" w:lineRule="auto"/>
        <w:ind w:firstLine="420" w:firstLineChars="200"/>
        <w:rPr>
          <w:rFonts w:ascii="宋体" w:hAnsi="宋体"/>
          <w:color w:val="000000"/>
          <w:szCs w:val="21"/>
        </w:rPr>
      </w:pPr>
      <w:r>
        <w:rPr>
          <w:rFonts w:hint="eastAsia" w:ascii="宋体" w:hAnsi="宋体"/>
          <w:color w:val="000000"/>
          <w:szCs w:val="21"/>
        </w:rPr>
        <w:t>（4）“中标人”：经合法招投标程序评选出来的投标人。</w:t>
      </w:r>
    </w:p>
    <w:p>
      <w:pPr>
        <w:spacing w:line="360" w:lineRule="auto"/>
        <w:ind w:firstLine="420" w:firstLineChars="200"/>
        <w:rPr>
          <w:rFonts w:ascii="宋体" w:hAnsi="宋体"/>
          <w:color w:val="000000"/>
          <w:szCs w:val="21"/>
        </w:rPr>
      </w:pPr>
      <w:r>
        <w:rPr>
          <w:rFonts w:hint="eastAsia" w:ascii="宋体" w:hAnsi="宋体"/>
          <w:color w:val="000000"/>
          <w:szCs w:val="21"/>
        </w:rPr>
        <w:t>（5）“服务”：采购文件规定投标人须承担的有关服务。</w:t>
      </w:r>
    </w:p>
    <w:p>
      <w:pPr>
        <w:spacing w:line="360" w:lineRule="auto"/>
        <w:ind w:firstLine="420" w:firstLineChars="200"/>
        <w:rPr>
          <w:rFonts w:ascii="宋体" w:hAnsi="宋体"/>
          <w:color w:val="000000"/>
          <w:szCs w:val="21"/>
        </w:rPr>
      </w:pPr>
      <w:bookmarkStart w:id="9" w:name="_Toc268502263"/>
      <w:r>
        <w:rPr>
          <w:rFonts w:hint="eastAsia" w:ascii="宋体" w:hAnsi="宋体"/>
          <w:color w:val="000000"/>
          <w:szCs w:val="21"/>
        </w:rPr>
        <w:t>1.1.2 适用范围</w:t>
      </w:r>
      <w:bookmarkEnd w:id="9"/>
    </w:p>
    <w:p>
      <w:pPr>
        <w:spacing w:line="360" w:lineRule="auto"/>
        <w:ind w:firstLine="420" w:firstLineChars="200"/>
        <w:rPr>
          <w:rFonts w:ascii="宋体" w:hAnsi="宋体"/>
          <w:color w:val="000000"/>
          <w:szCs w:val="21"/>
        </w:rPr>
      </w:pPr>
      <w:r>
        <w:rPr>
          <w:rFonts w:hint="eastAsia" w:ascii="宋体" w:hAnsi="宋体"/>
          <w:color w:val="000000"/>
          <w:szCs w:val="21"/>
        </w:rPr>
        <w:t>（1）依据《中华人民共和国政府采购法》和《</w:t>
      </w:r>
      <w:r>
        <w:rPr>
          <w:rFonts w:ascii="宋体" w:hAnsi="宋体"/>
          <w:color w:val="000000"/>
          <w:szCs w:val="21"/>
        </w:rPr>
        <w:t>中华人民共和国招标投标法</w:t>
      </w:r>
      <w:r>
        <w:rPr>
          <w:rFonts w:hint="eastAsia" w:ascii="宋体" w:hAnsi="宋体"/>
          <w:color w:val="000000"/>
          <w:szCs w:val="21"/>
        </w:rPr>
        <w:t>》等有关法律法规制定本须知；</w:t>
      </w:r>
    </w:p>
    <w:p>
      <w:pPr>
        <w:spacing w:line="360" w:lineRule="auto"/>
        <w:ind w:firstLine="420" w:firstLineChars="200"/>
        <w:rPr>
          <w:rFonts w:ascii="宋体" w:hAnsi="宋体"/>
          <w:color w:val="000000"/>
          <w:szCs w:val="21"/>
        </w:rPr>
      </w:pPr>
      <w:r>
        <w:rPr>
          <w:rFonts w:hint="eastAsia" w:ascii="宋体" w:hAnsi="宋体"/>
          <w:color w:val="000000"/>
          <w:szCs w:val="21"/>
        </w:rPr>
        <w:t>（2）招标人、投标人及各方当事人适用本须知。</w:t>
      </w:r>
    </w:p>
    <w:p>
      <w:pPr>
        <w:spacing w:line="360" w:lineRule="auto"/>
        <w:ind w:firstLine="420" w:firstLineChars="200"/>
        <w:rPr>
          <w:rFonts w:ascii="宋体" w:hAnsi="宋体"/>
          <w:color w:val="000000"/>
          <w:szCs w:val="21"/>
        </w:rPr>
      </w:pPr>
      <w:bookmarkStart w:id="10" w:name="_Toc268502264"/>
      <w:r>
        <w:rPr>
          <w:rFonts w:hint="eastAsia" w:ascii="宋体" w:hAnsi="宋体"/>
          <w:color w:val="000000"/>
          <w:szCs w:val="21"/>
        </w:rPr>
        <w:t>1.1.3 应遵循的原则</w:t>
      </w:r>
      <w:bookmarkEnd w:id="10"/>
    </w:p>
    <w:p>
      <w:pPr>
        <w:spacing w:line="360" w:lineRule="auto"/>
        <w:ind w:firstLine="420" w:firstLineChars="200"/>
        <w:rPr>
          <w:rFonts w:ascii="宋体" w:hAnsi="宋体"/>
          <w:color w:val="000000"/>
          <w:szCs w:val="21"/>
        </w:rPr>
      </w:pPr>
      <w:r>
        <w:rPr>
          <w:rFonts w:hint="eastAsia" w:ascii="宋体" w:hAnsi="宋体"/>
          <w:color w:val="000000"/>
          <w:szCs w:val="21"/>
        </w:rPr>
        <w:t>（1）遵循公开、公平、公正和诚实信用原则；</w:t>
      </w:r>
    </w:p>
    <w:p>
      <w:pPr>
        <w:spacing w:line="360" w:lineRule="auto"/>
        <w:ind w:firstLine="420" w:firstLineChars="200"/>
        <w:rPr>
          <w:rFonts w:ascii="宋体" w:hAnsi="宋体"/>
          <w:color w:val="000000"/>
          <w:szCs w:val="21"/>
        </w:rPr>
      </w:pPr>
      <w:r>
        <w:rPr>
          <w:rFonts w:hint="eastAsia" w:ascii="宋体" w:hAnsi="宋体"/>
          <w:color w:val="000000"/>
          <w:szCs w:val="21"/>
        </w:rPr>
        <w:t>（2）坚持质量优先、服务至上。</w:t>
      </w:r>
    </w:p>
    <w:p>
      <w:pPr>
        <w:pStyle w:val="4"/>
        <w:spacing w:before="60" w:after="60" w:line="240" w:lineRule="auto"/>
        <w:rPr>
          <w:b w:val="0"/>
          <w:color w:val="000000"/>
        </w:rPr>
      </w:pPr>
      <w:bookmarkStart w:id="11" w:name="_Toc454468354"/>
      <w:bookmarkStart w:id="12" w:name="_Toc499731917"/>
      <w:r>
        <w:rPr>
          <w:rFonts w:hint="eastAsia"/>
          <w:b w:val="0"/>
          <w:color w:val="000000"/>
        </w:rPr>
        <w:t>1.2 投标人资格要求</w:t>
      </w:r>
      <w:bookmarkEnd w:id="11"/>
      <w:bookmarkEnd w:id="12"/>
    </w:p>
    <w:p>
      <w:pPr>
        <w:widowControl/>
        <w:spacing w:line="375" w:lineRule="atLeast"/>
        <w:ind w:firstLine="420" w:firstLineChars="200"/>
        <w:jc w:val="left"/>
        <w:rPr>
          <w:rFonts w:ascii="宋体" w:hAnsi="宋体" w:cs="宋体"/>
          <w:bCs/>
          <w:color w:val="000000"/>
          <w:szCs w:val="21"/>
        </w:rPr>
      </w:pPr>
      <w:r>
        <w:rPr>
          <w:rFonts w:hint="eastAsia" w:ascii="宋体" w:hAnsi="宋体"/>
          <w:color w:val="000000"/>
        </w:rPr>
        <w:t>1.3.</w:t>
      </w:r>
      <w:r>
        <w:rPr>
          <w:rFonts w:hint="eastAsia" w:ascii="宋体" w:hAnsi="宋体" w:cs="宋体"/>
          <w:bCs/>
          <w:color w:val="000000"/>
          <w:szCs w:val="21"/>
        </w:rPr>
        <w:t xml:space="preserve">1 </w:t>
      </w:r>
      <w:r>
        <w:rPr>
          <w:rFonts w:ascii="宋体" w:hAnsi="宋体" w:cs="宋体"/>
          <w:bCs/>
          <w:color w:val="000000"/>
          <w:szCs w:val="21"/>
        </w:rPr>
        <w:t>供应商必须符合《中华人民共和国政府采购法》第二十二条规定的条件</w:t>
      </w:r>
      <w:r>
        <w:rPr>
          <w:rFonts w:hint="eastAsia" w:ascii="宋体" w:hAnsi="宋体" w:cs="宋体"/>
          <w:bCs/>
          <w:color w:val="000000"/>
          <w:szCs w:val="21"/>
        </w:rPr>
        <w:t>；</w:t>
      </w:r>
    </w:p>
    <w:p>
      <w:pPr>
        <w:widowControl/>
        <w:spacing w:line="375" w:lineRule="atLeast"/>
        <w:ind w:firstLine="420" w:firstLineChars="200"/>
        <w:jc w:val="left"/>
        <w:rPr>
          <w:rFonts w:ascii="宋体" w:hAnsi="宋体" w:cs="宋体"/>
          <w:bCs/>
          <w:color w:val="000000"/>
          <w:szCs w:val="21"/>
        </w:rPr>
      </w:pPr>
      <w:r>
        <w:rPr>
          <w:rFonts w:hint="eastAsia" w:ascii="宋体" w:hAnsi="宋体" w:cs="宋体"/>
          <w:bCs/>
          <w:color w:val="000000"/>
          <w:szCs w:val="21"/>
        </w:rPr>
        <w:t>1.3</w:t>
      </w:r>
      <w:r>
        <w:rPr>
          <w:rFonts w:ascii="宋体" w:hAnsi="宋体" w:cs="宋体"/>
          <w:bCs/>
          <w:color w:val="000000"/>
          <w:szCs w:val="21"/>
        </w:rPr>
        <w:t>.</w:t>
      </w:r>
      <w:r>
        <w:rPr>
          <w:rFonts w:hint="eastAsia" w:ascii="宋体" w:hAnsi="宋体" w:cs="宋体"/>
          <w:bCs/>
          <w:color w:val="000000"/>
          <w:szCs w:val="21"/>
        </w:rPr>
        <w:t>2 本项目不接受联合投标。</w:t>
      </w:r>
    </w:p>
    <w:p>
      <w:pPr>
        <w:spacing w:line="360" w:lineRule="auto"/>
        <w:ind w:firstLine="420" w:firstLineChars="200"/>
        <w:rPr>
          <w:rFonts w:ascii="宋体" w:hAnsi="宋体"/>
          <w:color w:val="000000"/>
          <w:szCs w:val="21"/>
        </w:rPr>
      </w:pPr>
      <w:r>
        <w:rPr>
          <w:rFonts w:hint="eastAsia" w:ascii="宋体" w:hAnsi="宋体"/>
          <w:color w:val="000000"/>
          <w:szCs w:val="21"/>
        </w:rPr>
        <w:t>1.3.3完成时限：按合同要求完成服务；</w:t>
      </w:r>
    </w:p>
    <w:p>
      <w:pPr>
        <w:spacing w:line="360" w:lineRule="auto"/>
        <w:ind w:firstLine="420" w:firstLineChars="200"/>
        <w:rPr>
          <w:rFonts w:ascii="宋体" w:hAnsi="宋体"/>
          <w:color w:val="000000"/>
          <w:szCs w:val="21"/>
        </w:rPr>
      </w:pPr>
      <w:r>
        <w:rPr>
          <w:rFonts w:hint="eastAsia" w:ascii="宋体" w:hAnsi="宋体"/>
          <w:color w:val="000000"/>
          <w:szCs w:val="21"/>
        </w:rPr>
        <w:t>1.3.4 投标人不得存在下列情形之一：</w:t>
      </w:r>
    </w:p>
    <w:p>
      <w:pPr>
        <w:spacing w:line="360" w:lineRule="auto"/>
        <w:ind w:firstLine="420" w:firstLineChars="200"/>
        <w:rPr>
          <w:rFonts w:ascii="宋体" w:hAnsi="宋体"/>
          <w:color w:val="000000"/>
          <w:szCs w:val="21"/>
        </w:rPr>
      </w:pPr>
      <w:r>
        <w:rPr>
          <w:rFonts w:hint="eastAsia" w:ascii="宋体" w:hAnsi="宋体"/>
          <w:color w:val="000000"/>
          <w:szCs w:val="21"/>
        </w:rPr>
        <w:t>(l）为本标段前期准备提供设计或咨询服务的；</w:t>
      </w:r>
    </w:p>
    <w:p>
      <w:pPr>
        <w:spacing w:line="360" w:lineRule="auto"/>
        <w:ind w:firstLine="420" w:firstLineChars="200"/>
        <w:rPr>
          <w:rFonts w:ascii="宋体" w:hAnsi="宋体"/>
          <w:color w:val="000000"/>
          <w:szCs w:val="21"/>
        </w:rPr>
      </w:pPr>
      <w:r>
        <w:rPr>
          <w:rFonts w:hint="eastAsia" w:ascii="宋体" w:hAnsi="宋体"/>
          <w:color w:val="000000"/>
          <w:szCs w:val="21"/>
        </w:rPr>
        <w:t>(2）为本标段提供招标代理服务的；</w:t>
      </w:r>
    </w:p>
    <w:p>
      <w:pPr>
        <w:spacing w:line="360" w:lineRule="auto"/>
        <w:ind w:firstLine="420" w:firstLineChars="200"/>
        <w:rPr>
          <w:rFonts w:ascii="宋体" w:hAnsi="宋体"/>
          <w:color w:val="000000"/>
          <w:szCs w:val="21"/>
        </w:rPr>
      </w:pPr>
      <w:r>
        <w:rPr>
          <w:rFonts w:hint="eastAsia" w:ascii="宋体" w:hAnsi="宋体"/>
          <w:color w:val="000000"/>
          <w:szCs w:val="21"/>
        </w:rPr>
        <w:t>(3）被责令停业的；</w:t>
      </w:r>
    </w:p>
    <w:p>
      <w:pPr>
        <w:spacing w:line="360" w:lineRule="auto"/>
        <w:ind w:firstLine="420" w:firstLineChars="200"/>
        <w:rPr>
          <w:rFonts w:ascii="宋体" w:hAnsi="宋体"/>
          <w:color w:val="000000"/>
          <w:szCs w:val="21"/>
        </w:rPr>
      </w:pPr>
      <w:r>
        <w:rPr>
          <w:rFonts w:hint="eastAsia" w:ascii="宋体" w:hAnsi="宋体"/>
          <w:color w:val="000000"/>
          <w:szCs w:val="21"/>
        </w:rPr>
        <w:t>(4）被暂停或取消投标资格的；</w:t>
      </w:r>
    </w:p>
    <w:p>
      <w:pPr>
        <w:spacing w:line="360" w:lineRule="auto"/>
        <w:ind w:firstLine="420" w:firstLineChars="200"/>
        <w:rPr>
          <w:rFonts w:ascii="宋体" w:hAnsi="宋体"/>
          <w:color w:val="000000"/>
          <w:szCs w:val="21"/>
        </w:rPr>
      </w:pPr>
      <w:r>
        <w:rPr>
          <w:rFonts w:hint="eastAsia" w:ascii="宋体" w:hAnsi="宋体"/>
          <w:color w:val="000000"/>
          <w:szCs w:val="21"/>
        </w:rPr>
        <w:t>(5）财产被接管或冻结的；</w:t>
      </w:r>
    </w:p>
    <w:p>
      <w:pPr>
        <w:spacing w:line="360" w:lineRule="auto"/>
        <w:ind w:firstLine="420" w:firstLineChars="200"/>
        <w:rPr>
          <w:rFonts w:ascii="宋体" w:hAnsi="宋体"/>
          <w:color w:val="000000"/>
          <w:szCs w:val="21"/>
        </w:rPr>
      </w:pPr>
      <w:r>
        <w:rPr>
          <w:rFonts w:hint="eastAsia" w:ascii="宋体" w:hAnsi="宋体"/>
          <w:color w:val="000000"/>
          <w:szCs w:val="21"/>
        </w:rPr>
        <w:t>(6）在最近三年内有骗取中标或严重违约或重大质量问题的。</w:t>
      </w:r>
    </w:p>
    <w:p>
      <w:pPr>
        <w:pStyle w:val="4"/>
        <w:rPr>
          <w:b w:val="0"/>
          <w:color w:val="000000"/>
        </w:rPr>
      </w:pPr>
      <w:bookmarkStart w:id="13" w:name="_Toc454468356"/>
      <w:bookmarkStart w:id="14" w:name="_Toc499731919"/>
      <w:r>
        <w:rPr>
          <w:rFonts w:hint="eastAsia"/>
          <w:b w:val="0"/>
          <w:color w:val="000000"/>
        </w:rPr>
        <w:t>1.3 保密</w:t>
      </w:r>
      <w:bookmarkEnd w:id="13"/>
      <w:bookmarkEnd w:id="14"/>
    </w:p>
    <w:p>
      <w:pPr>
        <w:spacing w:line="360" w:lineRule="auto"/>
        <w:ind w:firstLine="210" w:firstLineChars="100"/>
        <w:rPr>
          <w:rFonts w:ascii="宋体" w:hAnsi="宋体"/>
          <w:color w:val="000000"/>
          <w:szCs w:val="21"/>
        </w:rPr>
      </w:pPr>
      <w:r>
        <w:rPr>
          <w:rFonts w:hint="eastAsia" w:ascii="宋体" w:hAnsi="宋体"/>
          <w:color w:val="000000"/>
          <w:szCs w:val="21"/>
        </w:rPr>
        <w:t>参与招标投标活动的各方应对</w:t>
      </w:r>
      <w:r>
        <w:rPr>
          <w:rFonts w:hint="eastAsia" w:ascii="宋体" w:hAnsi="宋体"/>
          <w:color w:val="000000"/>
          <w:szCs w:val="21"/>
          <w:lang w:eastAsia="zh-CN"/>
        </w:rPr>
        <w:t>招标文件</w:t>
      </w:r>
      <w:r>
        <w:rPr>
          <w:rFonts w:hint="eastAsia" w:ascii="宋体" w:hAnsi="宋体"/>
          <w:color w:val="000000"/>
          <w:szCs w:val="21"/>
        </w:rPr>
        <w:t>和投标文件中的商业和技术等秘密保密，违者应对由此造成的后果承担法律责任。</w:t>
      </w:r>
    </w:p>
    <w:p>
      <w:pPr>
        <w:pStyle w:val="4"/>
        <w:spacing w:before="60" w:after="60" w:line="240" w:lineRule="auto"/>
        <w:rPr>
          <w:b w:val="0"/>
          <w:color w:val="000000"/>
        </w:rPr>
      </w:pPr>
      <w:bookmarkStart w:id="15" w:name="_Toc499731920"/>
      <w:bookmarkStart w:id="16" w:name="_Toc454468357"/>
      <w:r>
        <w:rPr>
          <w:rFonts w:hint="eastAsia"/>
          <w:b w:val="0"/>
          <w:color w:val="000000"/>
        </w:rPr>
        <w:t>1.4 语言文字</w:t>
      </w:r>
      <w:bookmarkEnd w:id="15"/>
      <w:bookmarkEnd w:id="16"/>
    </w:p>
    <w:p>
      <w:pPr>
        <w:spacing w:line="360" w:lineRule="auto"/>
        <w:ind w:firstLine="420" w:firstLineChars="200"/>
        <w:rPr>
          <w:rFonts w:ascii="宋体" w:hAnsi="宋体"/>
          <w:color w:val="000000"/>
          <w:szCs w:val="21"/>
        </w:rPr>
      </w:pPr>
      <w:r>
        <w:rPr>
          <w:rFonts w:hint="eastAsia" w:ascii="宋体" w:hAnsi="宋体"/>
          <w:color w:val="000000"/>
          <w:szCs w:val="21"/>
        </w:rPr>
        <w:t>除专用术语外，与招标投标有关的语言均使用中文。必要时专用术语应附有中文注释。</w:t>
      </w:r>
    </w:p>
    <w:p>
      <w:pPr>
        <w:pStyle w:val="4"/>
        <w:spacing w:before="60" w:after="60" w:line="240" w:lineRule="auto"/>
        <w:rPr>
          <w:b w:val="0"/>
          <w:color w:val="000000"/>
        </w:rPr>
      </w:pPr>
      <w:bookmarkStart w:id="17" w:name="_Toc454468358"/>
      <w:bookmarkStart w:id="18" w:name="_Toc499731921"/>
      <w:r>
        <w:rPr>
          <w:rFonts w:hint="eastAsia"/>
          <w:b w:val="0"/>
          <w:color w:val="000000"/>
        </w:rPr>
        <w:t>1.5 计量单位</w:t>
      </w:r>
      <w:bookmarkEnd w:id="17"/>
      <w:bookmarkEnd w:id="18"/>
    </w:p>
    <w:p>
      <w:pPr>
        <w:spacing w:line="360" w:lineRule="auto"/>
        <w:ind w:firstLine="420" w:firstLineChars="200"/>
        <w:rPr>
          <w:rFonts w:ascii="宋体" w:hAnsi="宋体"/>
          <w:color w:val="000000"/>
          <w:szCs w:val="21"/>
        </w:rPr>
      </w:pPr>
      <w:r>
        <w:rPr>
          <w:rFonts w:hint="eastAsia" w:ascii="宋体" w:hAnsi="宋体"/>
          <w:color w:val="000000"/>
          <w:szCs w:val="21"/>
        </w:rPr>
        <w:t>所有计量均采用中华人民共和国法定计量单位。</w:t>
      </w:r>
    </w:p>
    <w:p>
      <w:pPr>
        <w:pStyle w:val="4"/>
        <w:spacing w:before="60" w:after="60" w:line="240" w:lineRule="auto"/>
        <w:rPr>
          <w:b w:val="0"/>
          <w:color w:val="000000"/>
        </w:rPr>
      </w:pPr>
      <w:bookmarkStart w:id="19" w:name="_Toc499731922"/>
      <w:bookmarkStart w:id="20" w:name="_Toc454468359"/>
      <w:r>
        <w:rPr>
          <w:rFonts w:hint="eastAsia"/>
          <w:b w:val="0"/>
          <w:color w:val="000000"/>
        </w:rPr>
        <w:t>1.6 偏离</w:t>
      </w:r>
      <w:bookmarkEnd w:id="19"/>
      <w:bookmarkEnd w:id="20"/>
    </w:p>
    <w:p>
      <w:pPr>
        <w:spacing w:line="360" w:lineRule="auto"/>
        <w:ind w:firstLine="420" w:firstLineChars="200"/>
        <w:rPr>
          <w:rFonts w:ascii="宋体" w:hAnsi="宋体"/>
          <w:color w:val="000000"/>
          <w:szCs w:val="21"/>
        </w:rPr>
      </w:pPr>
      <w:r>
        <w:rPr>
          <w:rFonts w:hint="eastAsia" w:ascii="宋体" w:hAnsi="宋体"/>
          <w:color w:val="000000"/>
          <w:szCs w:val="21"/>
        </w:rPr>
        <w:t>投标人就招标货物的技术要求和商务要求有偏离的，须在投标偏离表中说明。</w:t>
      </w: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pStyle w:val="3"/>
        <w:spacing w:before="100" w:after="100" w:line="240" w:lineRule="auto"/>
        <w:jc w:val="center"/>
        <w:rPr>
          <w:bCs w:val="0"/>
          <w:color w:val="000000"/>
          <w:sz w:val="44"/>
          <w:szCs w:val="44"/>
        </w:rPr>
      </w:pPr>
      <w:bookmarkStart w:id="21" w:name="_Toc454464791"/>
      <w:bookmarkStart w:id="22" w:name="_Toc184635072"/>
      <w:bookmarkStart w:id="23" w:name="_Toc454468467"/>
      <w:bookmarkStart w:id="24" w:name="_Toc454468360"/>
      <w:bookmarkStart w:id="25" w:name="_Toc499731923"/>
      <w:bookmarkStart w:id="26" w:name="_Toc268600453"/>
      <w:r>
        <w:rPr>
          <w:rFonts w:hint="eastAsia"/>
          <w:bCs w:val="0"/>
          <w:color w:val="000000"/>
          <w:sz w:val="44"/>
          <w:szCs w:val="44"/>
        </w:rPr>
        <w:t>第二章 邀请函</w:t>
      </w:r>
    </w:p>
    <w:p>
      <w:pPr>
        <w:widowControl/>
        <w:spacing w:line="375" w:lineRule="atLeast"/>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w:t>
      </w:r>
    </w:p>
    <w:p>
      <w:pPr>
        <w:spacing w:line="5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根据济南市济阳区人民医院工作需要，经研究，现对下述项目进行采购，欢迎国内合格的投标人前来投标。</w:t>
      </w:r>
    </w:p>
    <w:p>
      <w:pPr>
        <w:numPr>
          <w:ilvl w:val="0"/>
          <w:numId w:val="1"/>
        </w:numPr>
        <w:adjustRightInd w:val="0"/>
        <w:snapToGrid w:val="0"/>
        <w:spacing w:line="580" w:lineRule="exact"/>
        <w:ind w:firstLine="560" w:firstLineChars="200"/>
        <w:rPr>
          <w:rFonts w:ascii="黑体" w:hAnsi="黑体" w:eastAsia="黑体" w:cs="黑体"/>
          <w:color w:val="000000"/>
          <w:sz w:val="28"/>
          <w:szCs w:val="28"/>
        </w:rPr>
      </w:pPr>
      <w:r>
        <w:rPr>
          <w:rFonts w:hint="eastAsia" w:ascii="黑体" w:hAnsi="黑体" w:eastAsia="黑体" w:cs="黑体"/>
          <w:color w:val="000000"/>
          <w:sz w:val="28"/>
          <w:szCs w:val="28"/>
        </w:rPr>
        <w:t>采购项目情况</w:t>
      </w:r>
    </w:p>
    <w:p>
      <w:pPr>
        <w:spacing w:line="58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1.项目名称：</w:t>
      </w:r>
      <w:r>
        <w:rPr>
          <w:rFonts w:hint="eastAsia" w:ascii="仿宋_GB2312" w:hAnsi="仿宋_GB2312" w:eastAsia="仿宋_GB2312" w:cs="仿宋_GB2312"/>
          <w:color w:val="000000"/>
          <w:sz w:val="28"/>
          <w:szCs w:val="28"/>
        </w:rPr>
        <w:t>济南市济阳区人民医院单病种监测上报系统采购项目</w:t>
      </w:r>
    </w:p>
    <w:p>
      <w:pPr>
        <w:spacing w:line="580" w:lineRule="exact"/>
        <w:ind w:firstLine="562"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rPr>
        <w:t>2.项目编号：</w:t>
      </w:r>
      <w:r>
        <w:rPr>
          <w:rFonts w:hint="eastAsia" w:ascii="仿宋_GB2312" w:hAnsi="仿宋_GB2312" w:eastAsia="仿宋_GB2312" w:cs="仿宋_GB2312"/>
          <w:color w:val="000000"/>
          <w:sz w:val="28"/>
          <w:szCs w:val="28"/>
          <w:lang w:val="en-US" w:eastAsia="zh-CN"/>
        </w:rPr>
        <w:t>2021-01-01</w:t>
      </w:r>
    </w:p>
    <w:p>
      <w:pPr>
        <w:widowControl/>
        <w:spacing w:line="520" w:lineRule="exact"/>
        <w:ind w:firstLine="562"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 xml:space="preserve">3.项目预算 : </w:t>
      </w:r>
      <w:r>
        <w:rPr>
          <w:rFonts w:ascii="仿宋_GB2312" w:hAnsi="仿宋_GB2312" w:eastAsia="仿宋_GB2312" w:cs="仿宋_GB2312"/>
          <w:color w:val="000000"/>
          <w:sz w:val="28"/>
          <w:szCs w:val="28"/>
        </w:rPr>
        <w:t>18</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万元</w:t>
      </w:r>
    </w:p>
    <w:p>
      <w:pPr>
        <w:spacing w:line="58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4.项目内容:</w:t>
      </w:r>
      <w:r>
        <w:rPr>
          <w:rFonts w:hint="eastAsia" w:ascii="仿宋_GB2312" w:hAnsi="仿宋_GB2312" w:eastAsia="仿宋_GB2312" w:cs="仿宋_GB2312"/>
          <w:color w:val="000000"/>
          <w:sz w:val="28"/>
          <w:szCs w:val="28"/>
        </w:rPr>
        <w:t xml:space="preserve"> 济南市济阳区人民医院单病种监测上报系统</w:t>
      </w:r>
    </w:p>
    <w:p>
      <w:pPr>
        <w:spacing w:line="58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5.项目资金来源及落实情况</w:t>
      </w:r>
      <w:r>
        <w:rPr>
          <w:rFonts w:hint="eastAsia" w:ascii="仿宋_GB2312" w:hAnsi="仿宋_GB2312" w:eastAsia="仿宋_GB2312" w:cs="仿宋_GB2312"/>
          <w:color w:val="000000"/>
          <w:sz w:val="28"/>
          <w:szCs w:val="28"/>
        </w:rPr>
        <w:t>：医院自筹。</w:t>
      </w:r>
      <w:r>
        <w:rPr>
          <w:rFonts w:ascii="仿宋_GB2312" w:hAnsi="仿宋_GB2312" w:eastAsia="仿宋_GB2312" w:cs="仿宋_GB2312"/>
          <w:color w:val="000000"/>
          <w:sz w:val="28"/>
          <w:szCs w:val="28"/>
        </w:rPr>
        <w:t xml:space="preserve"> </w:t>
      </w:r>
    </w:p>
    <w:p>
      <w:pPr>
        <w:widowControl/>
        <w:spacing w:line="5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b/>
          <w:color w:val="000000"/>
          <w:sz w:val="28"/>
          <w:szCs w:val="28"/>
        </w:rPr>
        <w:t>供货时间</w:t>
      </w:r>
      <w:r>
        <w:rPr>
          <w:rFonts w:hint="eastAsia" w:ascii="仿宋_GB2312" w:hAnsi="仿宋_GB2312" w:eastAsia="仿宋_GB2312" w:cs="仿宋_GB2312"/>
          <w:color w:val="000000"/>
          <w:sz w:val="28"/>
          <w:szCs w:val="28"/>
        </w:rPr>
        <w:t>：按采购合同要求完成供货</w:t>
      </w:r>
    </w:p>
    <w:p>
      <w:pPr>
        <w:adjustRightInd w:val="0"/>
        <w:snapToGrid w:val="0"/>
        <w:spacing w:line="580" w:lineRule="exact"/>
        <w:ind w:firstLine="560" w:firstLineChars="200"/>
        <w:rPr>
          <w:rFonts w:ascii="黑体" w:hAnsi="黑体" w:eastAsia="黑体" w:cs="黑体"/>
          <w:color w:val="000000"/>
          <w:sz w:val="28"/>
          <w:szCs w:val="28"/>
        </w:rPr>
      </w:pPr>
      <w:r>
        <w:rPr>
          <w:rFonts w:hint="eastAsia" w:ascii="黑体" w:hAnsi="黑体" w:eastAsia="黑体" w:cs="黑体"/>
          <w:color w:val="000000"/>
          <w:sz w:val="28"/>
          <w:szCs w:val="28"/>
        </w:rPr>
        <w:t>二、投标人资格条件</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1.具备《中华人民共和国政府采购法》第二十二条规定的条件；</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2.投标人应具有相应的经营许可证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3.投标人应具有独立法人资格，具备履行合同所必须的良好的商业信誉及健全的财务会计制度且经营状况良好；</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营业执照、税务登记证、组织机构代码证或三证合一证照（复印件加盖公章），经营范围应包含本项目内容要求；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 具有良好的履行合同的能力和记录，能够按照工期要求。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本项目不接受联合体投标，不允许将部分项目分包和转包。</w:t>
      </w:r>
    </w:p>
    <w:p>
      <w:pPr>
        <w:adjustRightInd w:val="0"/>
        <w:snapToGrid w:val="0"/>
        <w:spacing w:line="580" w:lineRule="exact"/>
        <w:ind w:firstLine="560" w:firstLineChars="200"/>
        <w:rPr>
          <w:rFonts w:ascii="黑体" w:hAnsi="黑体" w:eastAsia="黑体" w:cs="黑体"/>
          <w:color w:val="000000"/>
          <w:sz w:val="28"/>
          <w:szCs w:val="28"/>
        </w:rPr>
      </w:pPr>
      <w:r>
        <w:rPr>
          <w:rFonts w:hint="eastAsia" w:ascii="黑体" w:hAnsi="黑体" w:eastAsia="黑体" w:cs="黑体"/>
          <w:color w:val="000000"/>
          <w:sz w:val="28"/>
          <w:szCs w:val="28"/>
        </w:rPr>
        <w:t>三、报名要求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名请持营业执照、税务登记证、机构代码证和涉及本项目的相关许可证复印件加盖公章；法定代表人身份证复印件（加盖公章）及报名授权委托书（原件）；被委托人身份证复印件（加盖公章）。未按报名要求提供材料的，报名不予接受。</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 参加政府采购活动前3年内在经营活动中没有重大违法记录的书面声明（投标人自拟声明）；</w:t>
      </w:r>
    </w:p>
    <w:p>
      <w:pPr>
        <w:spacing w:line="560" w:lineRule="exact"/>
        <w:ind w:firstLine="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注：上述资料及证件应在有效期内，需提供复印件（授权委托书为原件）逐页加盖公章交由代理机构存档备查。</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3.磋商文件领取时间： </w:t>
      </w:r>
      <w:r>
        <w:rPr>
          <w:rFonts w:ascii="宋体" w:hAnsi="宋体" w:cs="宋体"/>
          <w:kern w:val="0"/>
          <w:sz w:val="24"/>
          <w:lang w:bidi="ar"/>
        </w:rPr>
        <w:t>2021年1月20日-2021年1月22日,上午09:30-13:00；下午14:30-17:00（节假日除外）</w:t>
      </w:r>
    </w:p>
    <w:p>
      <w:pPr>
        <w:spacing w:line="560" w:lineRule="exact"/>
        <w:ind w:firstLine="56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4.文件领取地址：济南市济阳区人民医院</w:t>
      </w:r>
      <w:r>
        <w:rPr>
          <w:rFonts w:hint="eastAsia" w:ascii="仿宋_GB2312" w:hAnsi="仿宋_GB2312" w:eastAsia="仿宋_GB2312" w:cs="仿宋_GB2312"/>
          <w:color w:val="000000"/>
          <w:sz w:val="28"/>
          <w:szCs w:val="28"/>
          <w:lang w:eastAsia="zh-CN"/>
        </w:rPr>
        <w:t>办公楼一楼</w:t>
      </w:r>
    </w:p>
    <w:p>
      <w:pPr>
        <w:adjustRightInd w:val="0"/>
        <w:snapToGrid w:val="0"/>
        <w:spacing w:line="580" w:lineRule="exact"/>
        <w:ind w:firstLine="560" w:firstLineChars="200"/>
        <w:rPr>
          <w:rFonts w:ascii="黑体" w:hAnsi="黑体" w:eastAsia="黑体" w:cs="黑体"/>
          <w:color w:val="000000"/>
          <w:sz w:val="28"/>
          <w:szCs w:val="28"/>
        </w:rPr>
      </w:pPr>
      <w:r>
        <w:rPr>
          <w:rFonts w:hint="eastAsia" w:ascii="黑体" w:hAnsi="黑体" w:eastAsia="黑体" w:cs="黑体"/>
          <w:color w:val="000000"/>
          <w:sz w:val="28"/>
          <w:szCs w:val="28"/>
        </w:rPr>
        <w:t>四、文件的澄清</w:t>
      </w:r>
    </w:p>
    <w:p>
      <w:pPr>
        <w:adjustRightInd w:val="0"/>
        <w:snapToGrid w:val="0"/>
        <w:spacing w:line="5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投标人对招标文件如有疑点，可要求澄清。任何要求澄清招标文件的投标人，均应在投标截止时间前3天以书面形式（包括信函、电报或传真，下同)通知招标人，招标人对投标截止时间前3天以前收到的澄清要求将采用适当方式予以澄清或以书面形式予以答复，并在其认为必要时，将不标明查询来源的书面答复发给已领取招标文件的每一投标人。</w:t>
      </w:r>
    </w:p>
    <w:p>
      <w:pPr>
        <w:adjustRightInd w:val="0"/>
        <w:snapToGrid w:val="0"/>
        <w:spacing w:line="580" w:lineRule="exact"/>
        <w:ind w:firstLine="560" w:firstLineChars="200"/>
        <w:rPr>
          <w:rFonts w:ascii="黑体" w:hAnsi="黑体" w:eastAsia="黑体" w:cs="黑体"/>
          <w:color w:val="000000"/>
          <w:sz w:val="28"/>
          <w:szCs w:val="28"/>
        </w:rPr>
      </w:pPr>
      <w:r>
        <w:rPr>
          <w:rFonts w:hint="eastAsia" w:ascii="黑体" w:hAnsi="黑体" w:eastAsia="黑体" w:cs="黑体"/>
          <w:color w:val="000000"/>
          <w:sz w:val="28"/>
          <w:szCs w:val="28"/>
        </w:rPr>
        <w:t>五、投标报名</w:t>
      </w:r>
    </w:p>
    <w:p>
      <w:pPr>
        <w:spacing w:line="560" w:lineRule="exact"/>
        <w:ind w:firstLine="480" w:firstLineChars="200"/>
        <w:rPr>
          <w:rFonts w:ascii="仿宋_GB2312" w:hAnsi="仿宋_GB2312" w:eastAsia="仿宋_GB2312" w:cs="仿宋_GB2312"/>
          <w:color w:val="000000"/>
          <w:sz w:val="28"/>
          <w:szCs w:val="28"/>
        </w:rPr>
      </w:pPr>
      <w:r>
        <w:rPr>
          <w:rFonts w:ascii="宋体" w:hAnsi="宋体" w:cs="宋体"/>
          <w:kern w:val="0"/>
          <w:sz w:val="24"/>
          <w:lang w:bidi="ar"/>
        </w:rPr>
        <w:t>2021年1月20日-2021年1月22日,上午09:30-13:00；下午14:30-17:00（节假日除外）</w:t>
      </w:r>
      <w:r>
        <w:rPr>
          <w:rFonts w:hint="eastAsia" w:ascii="仿宋_GB2312" w:hAnsi="仿宋_GB2312" w:eastAsia="仿宋_GB2312" w:cs="仿宋_GB2312"/>
          <w:color w:val="000000"/>
          <w:sz w:val="28"/>
          <w:szCs w:val="28"/>
        </w:rPr>
        <w:t>前到</w:t>
      </w:r>
      <w:r>
        <w:rPr>
          <w:rFonts w:hint="eastAsia" w:ascii="仿宋_GB2312" w:hAnsi="仿宋_GB2312" w:eastAsia="仿宋_GB2312" w:cs="仿宋_GB2312"/>
          <w:color w:val="000000"/>
          <w:kern w:val="0"/>
          <w:sz w:val="28"/>
          <w:szCs w:val="28"/>
          <w:shd w:val="clear" w:color="auto" w:fill="FFFFFF"/>
        </w:rPr>
        <w:t>济南市济阳区人民医院</w:t>
      </w:r>
      <w:r>
        <w:rPr>
          <w:rFonts w:hint="eastAsia" w:ascii="仿宋_GB2312" w:hAnsi="仿宋_GB2312" w:eastAsia="仿宋_GB2312" w:cs="仿宋_GB2312"/>
          <w:color w:val="000000"/>
          <w:kern w:val="0"/>
          <w:sz w:val="28"/>
          <w:szCs w:val="28"/>
          <w:shd w:val="clear" w:color="auto" w:fill="FFFFFF"/>
          <w:lang w:eastAsia="zh-CN"/>
        </w:rPr>
        <w:t>办公楼一楼</w:t>
      </w:r>
      <w:r>
        <w:rPr>
          <w:rFonts w:hint="eastAsia" w:ascii="仿宋_GB2312" w:hAnsi="仿宋_GB2312" w:eastAsia="仿宋_GB2312" w:cs="仿宋_GB2312"/>
          <w:color w:val="000000"/>
          <w:sz w:val="28"/>
          <w:szCs w:val="28"/>
        </w:rPr>
        <w:t>报名。</w:t>
      </w:r>
      <w:bookmarkStart w:id="65" w:name="_GoBack"/>
      <w:bookmarkEnd w:id="65"/>
    </w:p>
    <w:p>
      <w:pPr>
        <w:adjustRightInd w:val="0"/>
        <w:snapToGrid w:val="0"/>
        <w:spacing w:line="580" w:lineRule="exact"/>
        <w:ind w:firstLine="560" w:firstLineChars="200"/>
        <w:rPr>
          <w:rFonts w:ascii="黑体" w:hAnsi="黑体" w:eastAsia="黑体" w:cs="黑体"/>
          <w:color w:val="000000"/>
          <w:sz w:val="28"/>
          <w:szCs w:val="28"/>
        </w:rPr>
      </w:pPr>
      <w:r>
        <w:rPr>
          <w:rFonts w:hint="eastAsia" w:ascii="黑体" w:hAnsi="黑体" w:eastAsia="黑体" w:cs="黑体"/>
          <w:color w:val="000000"/>
          <w:sz w:val="28"/>
          <w:szCs w:val="28"/>
        </w:rPr>
        <w:t>六、开标</w:t>
      </w:r>
    </w:p>
    <w:p>
      <w:pPr>
        <w:spacing w:line="5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1.开标时间：</w:t>
      </w:r>
      <w:r>
        <w:rPr>
          <w:rFonts w:ascii="宋体" w:hAnsi="宋体" w:cs="宋体"/>
          <w:color w:val="FF0000"/>
          <w:kern w:val="0"/>
          <w:sz w:val="24"/>
          <w:lang w:bidi="ar"/>
        </w:rPr>
        <w:t>2021年1月2</w:t>
      </w:r>
      <w:r>
        <w:rPr>
          <w:rFonts w:hint="eastAsia" w:ascii="宋体" w:hAnsi="宋体" w:cs="宋体"/>
          <w:color w:val="FF0000"/>
          <w:kern w:val="0"/>
          <w:sz w:val="24"/>
          <w:lang w:val="en-US" w:eastAsia="zh-CN" w:bidi="ar"/>
        </w:rPr>
        <w:t>8</w:t>
      </w:r>
      <w:r>
        <w:rPr>
          <w:rFonts w:ascii="宋体" w:hAnsi="宋体" w:cs="宋体"/>
          <w:color w:val="FF0000"/>
          <w:kern w:val="0"/>
          <w:sz w:val="24"/>
          <w:lang w:bidi="ar"/>
        </w:rPr>
        <w:t>日</w:t>
      </w:r>
      <w:r>
        <w:rPr>
          <w:rFonts w:hint="eastAsia" w:ascii="宋体" w:hAnsi="宋体" w:cs="宋体"/>
          <w:color w:val="FF0000"/>
          <w:kern w:val="0"/>
          <w:sz w:val="24"/>
          <w:lang w:eastAsia="zh-CN" w:bidi="ar"/>
        </w:rPr>
        <w:t>下</w:t>
      </w:r>
      <w:r>
        <w:rPr>
          <w:rFonts w:ascii="宋体" w:hAnsi="宋体" w:cs="宋体"/>
          <w:color w:val="FF0000"/>
          <w:kern w:val="0"/>
          <w:sz w:val="24"/>
          <w:lang w:bidi="ar"/>
        </w:rPr>
        <w:t>午14:30</w:t>
      </w:r>
      <w:r>
        <w:rPr>
          <w:rFonts w:ascii="宋体" w:hAnsi="宋体" w:cs="宋体"/>
          <w:kern w:val="0"/>
          <w:sz w:val="24"/>
          <w:lang w:bidi="ar"/>
        </w:rPr>
        <w:t>时（北京时间）</w:t>
      </w:r>
      <w:r>
        <w:rPr>
          <w:rFonts w:hint="eastAsia" w:ascii="仿宋_GB2312" w:hAnsi="仿宋_GB2312" w:eastAsia="仿宋_GB2312" w:cs="仿宋_GB2312"/>
          <w:color w:val="000000"/>
          <w:sz w:val="28"/>
          <w:szCs w:val="28"/>
        </w:rPr>
        <w:t>。</w:t>
      </w:r>
    </w:p>
    <w:p>
      <w:pPr>
        <w:spacing w:line="5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2.开标地点：</w:t>
      </w:r>
      <w:r>
        <w:rPr>
          <w:rFonts w:ascii="宋体" w:hAnsi="宋体" w:cs="宋体"/>
          <w:color w:val="FF0000"/>
          <w:kern w:val="0"/>
          <w:sz w:val="24"/>
          <w:lang w:bidi="ar"/>
        </w:rPr>
        <w:t>济南市济阳区人民医院办公楼二楼会议室</w:t>
      </w:r>
      <w:r>
        <w:rPr>
          <w:rFonts w:ascii="宋体" w:hAnsi="宋体" w:cs="宋体"/>
          <w:kern w:val="0"/>
          <w:sz w:val="24"/>
          <w:lang w:bidi="ar"/>
        </w:rPr>
        <w:t>（</w:t>
      </w:r>
      <w:r>
        <w:rPr>
          <w:rFonts w:hint="eastAsia" w:ascii="宋体" w:hAnsi="宋体" w:cs="宋体"/>
          <w:kern w:val="0"/>
          <w:sz w:val="24"/>
          <w:lang w:bidi="ar"/>
        </w:rPr>
        <w:t>济南市济阳区新元大街1</w:t>
      </w:r>
      <w:r>
        <w:rPr>
          <w:rFonts w:ascii="宋体" w:hAnsi="宋体" w:cs="宋体"/>
          <w:kern w:val="0"/>
          <w:sz w:val="24"/>
          <w:lang w:bidi="ar"/>
        </w:rPr>
        <w:t>7</w:t>
      </w:r>
      <w:r>
        <w:rPr>
          <w:rFonts w:hint="eastAsia" w:ascii="宋体" w:hAnsi="宋体" w:cs="宋体"/>
          <w:kern w:val="0"/>
          <w:sz w:val="24"/>
          <w:lang w:bidi="ar"/>
        </w:rPr>
        <w:t>号</w:t>
      </w:r>
      <w:r>
        <w:rPr>
          <w:rFonts w:ascii="宋体" w:hAnsi="宋体" w:cs="宋体"/>
          <w:kern w:val="0"/>
          <w:sz w:val="24"/>
          <w:lang w:bidi="ar"/>
        </w:rPr>
        <w:t>）</w:t>
      </w:r>
    </w:p>
    <w:p>
      <w:pPr>
        <w:spacing w:line="5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3.开标时携带投标文件，并加盖公章。投标人的法定代表人或其委托代理人应准时参加。</w:t>
      </w:r>
    </w:p>
    <w:p>
      <w:pPr>
        <w:adjustRightInd w:val="0"/>
        <w:snapToGrid w:val="0"/>
        <w:spacing w:line="580" w:lineRule="exact"/>
        <w:ind w:firstLine="560" w:firstLineChars="200"/>
        <w:rPr>
          <w:rFonts w:ascii="黑体" w:hAnsi="黑体" w:eastAsia="黑体" w:cs="黑体"/>
          <w:color w:val="000000"/>
          <w:sz w:val="28"/>
          <w:szCs w:val="28"/>
        </w:rPr>
      </w:pPr>
      <w:r>
        <w:rPr>
          <w:rFonts w:hint="eastAsia" w:ascii="黑体" w:hAnsi="黑体" w:eastAsia="黑体" w:cs="黑体"/>
          <w:color w:val="000000"/>
          <w:sz w:val="28"/>
          <w:szCs w:val="28"/>
        </w:rPr>
        <w:t>七、联系方式</w:t>
      </w:r>
    </w:p>
    <w:p>
      <w:pPr>
        <w:spacing w:line="580" w:lineRule="exact"/>
        <w:ind w:firstLine="560" w:firstLineChars="200"/>
        <w:rPr>
          <w:rFonts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sz w:val="28"/>
          <w:szCs w:val="28"/>
        </w:rPr>
        <w:t>招   标   人：</w:t>
      </w:r>
      <w:r>
        <w:rPr>
          <w:rFonts w:hint="eastAsia" w:ascii="仿宋_GB2312" w:hAnsi="仿宋_GB2312" w:eastAsia="仿宋_GB2312" w:cs="仿宋_GB2312"/>
          <w:color w:val="000000"/>
          <w:kern w:val="0"/>
          <w:sz w:val="28"/>
          <w:szCs w:val="28"/>
          <w:shd w:val="clear" w:color="auto" w:fill="FFFFFF"/>
        </w:rPr>
        <w:t>济南市济阳区人民医院</w:t>
      </w:r>
    </w:p>
    <w:p>
      <w:pPr>
        <w:spacing w:line="580" w:lineRule="exact"/>
        <w:ind w:firstLine="560" w:firstLineChars="200"/>
        <w:rPr>
          <w:rFonts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sz w:val="28"/>
          <w:szCs w:val="28"/>
        </w:rPr>
        <w:t>地        址：</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kern w:val="0"/>
          <w:sz w:val="28"/>
          <w:szCs w:val="28"/>
          <w:shd w:val="clear" w:color="auto" w:fill="FFFFFF"/>
        </w:rPr>
        <w:t>济南市济阳区新元大街1</w:t>
      </w:r>
      <w:r>
        <w:rPr>
          <w:rFonts w:ascii="仿宋_GB2312" w:hAnsi="仿宋_GB2312" w:eastAsia="仿宋_GB2312" w:cs="仿宋_GB2312"/>
          <w:color w:val="000000"/>
          <w:kern w:val="0"/>
          <w:sz w:val="28"/>
          <w:szCs w:val="28"/>
          <w:shd w:val="clear" w:color="auto" w:fill="FFFFFF"/>
        </w:rPr>
        <w:t>7</w:t>
      </w:r>
      <w:r>
        <w:rPr>
          <w:rFonts w:hint="eastAsia" w:ascii="仿宋_GB2312" w:hAnsi="仿宋_GB2312" w:eastAsia="仿宋_GB2312" w:cs="仿宋_GB2312"/>
          <w:color w:val="000000"/>
          <w:kern w:val="0"/>
          <w:sz w:val="28"/>
          <w:szCs w:val="28"/>
          <w:shd w:val="clear" w:color="auto" w:fill="FFFFFF"/>
        </w:rPr>
        <w:t>号</w:t>
      </w:r>
    </w:p>
    <w:p>
      <w:pPr>
        <w:spacing w:line="580" w:lineRule="exact"/>
        <w:ind w:firstLine="560" w:firstLineChars="200"/>
        <w:rPr>
          <w:rFonts w:hint="eastAsia" w:ascii="仿宋_GB2312" w:hAnsi="仿宋_GB2312" w:eastAsia="仿宋_GB2312" w:cs="仿宋_GB2312"/>
          <w:color w:val="000000"/>
          <w:kern w:val="0"/>
          <w:sz w:val="28"/>
          <w:szCs w:val="28"/>
          <w:shd w:val="clear" w:color="auto" w:fill="FFFFFF"/>
          <w:lang w:eastAsia="zh-CN"/>
        </w:rPr>
      </w:pPr>
      <w:r>
        <w:rPr>
          <w:rFonts w:hint="eastAsia" w:ascii="仿宋_GB2312" w:hAnsi="仿宋_GB2312" w:eastAsia="仿宋_GB2312" w:cs="仿宋_GB2312"/>
          <w:color w:val="000000"/>
          <w:sz w:val="28"/>
          <w:szCs w:val="28"/>
        </w:rPr>
        <w:t xml:space="preserve">联   系   人： </w:t>
      </w:r>
      <w:r>
        <w:rPr>
          <w:rFonts w:hint="eastAsia" w:ascii="仿宋_GB2312" w:hAnsi="仿宋_GB2312" w:eastAsia="仿宋_GB2312" w:cs="仿宋_GB2312"/>
          <w:color w:val="000000"/>
          <w:sz w:val="28"/>
          <w:szCs w:val="28"/>
          <w:lang w:eastAsia="zh-CN"/>
        </w:rPr>
        <w:t>魏主任</w:t>
      </w:r>
    </w:p>
    <w:p>
      <w:pPr>
        <w:spacing w:line="580" w:lineRule="exact"/>
        <w:ind w:firstLine="560" w:firstLineChars="200"/>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sz w:val="28"/>
          <w:szCs w:val="28"/>
        </w:rPr>
        <w:t>电</w:t>
      </w:r>
      <w:r>
        <w:rPr>
          <w:rFonts w:hint="eastAsia" w:ascii="宋体" w:hAnsi="宋体" w:cs="宋体"/>
          <w:color w:val="000000"/>
          <w:sz w:val="28"/>
          <w:szCs w:val="28"/>
        </w:rPr>
        <w:t>   </w:t>
      </w:r>
      <w:r>
        <w:rPr>
          <w:rFonts w:hint="eastAsia" w:ascii="仿宋" w:hAnsi="仿宋" w:eastAsia="仿宋" w:cs="仿宋"/>
          <w:color w:val="000000"/>
          <w:sz w:val="28"/>
          <w:szCs w:val="28"/>
        </w:rPr>
        <w:t xml:space="preserve">  </w:t>
      </w:r>
      <w:r>
        <w:rPr>
          <w:rFonts w:hint="eastAsia" w:ascii="仿宋_GB2312" w:hAnsi="仿宋_GB2312" w:eastAsia="仿宋_GB2312" w:cs="仿宋_GB2312"/>
          <w:color w:val="000000"/>
          <w:sz w:val="28"/>
          <w:szCs w:val="28"/>
        </w:rPr>
        <w:t>话：</w:t>
      </w:r>
      <w:r>
        <w:rPr>
          <w:rFonts w:ascii="仿宋_GB2312" w:hAnsi="仿宋_GB2312" w:eastAsia="仿宋_GB2312" w:cs="仿宋_GB2312"/>
          <w:color w:val="000000"/>
          <w:kern w:val="0"/>
          <w:sz w:val="28"/>
          <w:szCs w:val="28"/>
          <w:shd w:val="clear" w:color="auto" w:fill="FFFFFF"/>
        </w:rPr>
        <w:t xml:space="preserve"> </w:t>
      </w:r>
      <w:r>
        <w:rPr>
          <w:rFonts w:hint="eastAsia" w:ascii="仿宋_GB2312" w:hAnsi="仿宋_GB2312" w:eastAsia="仿宋_GB2312" w:cs="仿宋_GB2312"/>
          <w:color w:val="000000"/>
          <w:kern w:val="0"/>
          <w:sz w:val="28"/>
          <w:szCs w:val="28"/>
          <w:shd w:val="clear" w:color="auto" w:fill="FFFFFF"/>
          <w:lang w:val="en-US" w:eastAsia="zh-CN"/>
        </w:rPr>
        <w:t>0531-81172616</w:t>
      </w:r>
    </w:p>
    <w:p>
      <w:pPr>
        <w:spacing w:line="580" w:lineRule="exact"/>
        <w:ind w:left="420" w:leftChars="200"/>
        <w:rPr>
          <w:rFonts w:ascii="仿宋_GB2312" w:hAnsi="仿宋_GB2312" w:eastAsia="仿宋_GB2312" w:cs="仿宋_GB2312"/>
          <w:color w:val="000000"/>
          <w:sz w:val="28"/>
          <w:szCs w:val="28"/>
        </w:rPr>
      </w:pPr>
    </w:p>
    <w:p>
      <w:pPr>
        <w:spacing w:line="580" w:lineRule="exact"/>
        <w:rPr>
          <w:rFonts w:ascii="仿宋_GB2312" w:hAnsi="仿宋_GB2312" w:eastAsia="仿宋_GB2312" w:cs="仿宋_GB2312"/>
          <w:color w:val="000000"/>
          <w:sz w:val="28"/>
          <w:szCs w:val="28"/>
        </w:rPr>
      </w:pPr>
    </w:p>
    <w:p>
      <w:pPr>
        <w:spacing w:line="580" w:lineRule="exact"/>
        <w:ind w:firstLine="560" w:firstLineChars="200"/>
        <w:jc w:val="left"/>
        <w:rPr>
          <w:rFonts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kern w:val="0"/>
          <w:sz w:val="28"/>
          <w:szCs w:val="28"/>
          <w:shd w:val="clear" w:color="auto" w:fill="FFFFFF"/>
        </w:rPr>
        <w:t>济南市济阳区人民医院</w:t>
      </w:r>
    </w:p>
    <w:p>
      <w:pPr>
        <w:spacing w:line="580" w:lineRule="exact"/>
        <w:ind w:left="5040" w:right="315" w:hanging="5040" w:hangingChars="18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2021年1月</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日</w:t>
      </w:r>
    </w:p>
    <w:p>
      <w:pPr>
        <w:spacing w:line="580" w:lineRule="exact"/>
        <w:ind w:left="5040" w:right="315" w:hanging="5040" w:hangingChars="1800"/>
        <w:jc w:val="left"/>
        <w:rPr>
          <w:rFonts w:ascii="仿宋_GB2312" w:hAnsi="仿宋_GB2312" w:eastAsia="仿宋_GB2312" w:cs="仿宋_GB2312"/>
          <w:color w:val="000000"/>
          <w:sz w:val="28"/>
          <w:szCs w:val="28"/>
        </w:rPr>
      </w:pPr>
    </w:p>
    <w:p>
      <w:pPr>
        <w:rPr>
          <w:color w:val="000000"/>
        </w:rPr>
      </w:pPr>
    </w:p>
    <w:p>
      <w:pPr>
        <w:rPr>
          <w:color w:val="000000"/>
        </w:rPr>
      </w:pPr>
    </w:p>
    <w:p>
      <w:pPr>
        <w:spacing w:line="580" w:lineRule="exact"/>
        <w:rPr>
          <w:rFonts w:ascii="仿宋_GB2312" w:eastAsia="仿宋_GB2312"/>
          <w:b/>
          <w:color w:val="000000"/>
          <w:sz w:val="28"/>
          <w:szCs w:val="28"/>
        </w:rPr>
      </w:pPr>
    </w:p>
    <w:p>
      <w:pPr>
        <w:adjustRightInd w:val="0"/>
        <w:snapToGrid w:val="0"/>
        <w:spacing w:line="490" w:lineRule="exact"/>
        <w:jc w:val="center"/>
        <w:rPr>
          <w:b/>
          <w:color w:val="000000"/>
          <w:sz w:val="44"/>
          <w:szCs w:val="44"/>
        </w:rPr>
      </w:pPr>
      <w:r>
        <w:rPr>
          <w:rFonts w:hint="eastAsia"/>
          <w:b/>
          <w:color w:val="000000"/>
          <w:sz w:val="44"/>
          <w:szCs w:val="44"/>
        </w:rPr>
        <w:t>第三章</w:t>
      </w:r>
    </w:p>
    <w:p>
      <w:pPr>
        <w:adjustRightInd w:val="0"/>
        <w:snapToGrid w:val="0"/>
        <w:spacing w:line="490" w:lineRule="exact"/>
        <w:jc w:val="center"/>
        <w:rPr>
          <w:b/>
          <w:color w:val="000000"/>
          <w:sz w:val="44"/>
          <w:szCs w:val="44"/>
        </w:rPr>
      </w:pPr>
      <w:r>
        <w:rPr>
          <w:rFonts w:hint="eastAsia"/>
          <w:b/>
          <w:color w:val="000000"/>
          <w:sz w:val="44"/>
          <w:szCs w:val="44"/>
        </w:rPr>
        <w:t>招标人须知</w:t>
      </w:r>
    </w:p>
    <w:p>
      <w:pPr>
        <w:adjustRightInd w:val="0"/>
        <w:snapToGrid w:val="0"/>
        <w:spacing w:line="490" w:lineRule="exact"/>
        <w:ind w:firstLine="482" w:firstLineChars="200"/>
        <w:rPr>
          <w:rFonts w:ascii="宋体" w:hAnsi="宋体" w:cs="宋体"/>
          <w:b/>
          <w:bCs/>
          <w:color w:val="000000"/>
          <w:sz w:val="24"/>
        </w:rPr>
      </w:pPr>
      <w:r>
        <w:rPr>
          <w:rFonts w:hint="eastAsia" w:ascii="宋体" w:hAnsi="宋体" w:cs="宋体"/>
          <w:b/>
          <w:bCs/>
          <w:color w:val="000000"/>
          <w:sz w:val="24"/>
        </w:rPr>
        <w:t>一、投标报价</w:t>
      </w:r>
    </w:p>
    <w:p>
      <w:pPr>
        <w:spacing w:line="490" w:lineRule="exact"/>
        <w:ind w:firstLine="480" w:firstLineChars="200"/>
        <w:rPr>
          <w:rFonts w:ascii="宋体" w:hAnsi="宋体" w:cs="宋体"/>
          <w:color w:val="000000"/>
          <w:sz w:val="24"/>
        </w:rPr>
      </w:pPr>
      <w:r>
        <w:rPr>
          <w:rFonts w:hint="eastAsia" w:ascii="宋体" w:hAnsi="宋体" w:cs="宋体"/>
          <w:color w:val="000000"/>
          <w:sz w:val="24"/>
        </w:rPr>
        <w:t>1.所有投标报价单价以人民币元为单位，开标一览表报价以人民币元为单位，未按规定报价视为不合格标。</w:t>
      </w:r>
    </w:p>
    <w:p>
      <w:pPr>
        <w:adjustRightInd w:val="0"/>
        <w:snapToGrid w:val="0"/>
        <w:spacing w:line="490" w:lineRule="exact"/>
        <w:ind w:firstLine="480" w:firstLineChars="200"/>
        <w:rPr>
          <w:rFonts w:ascii="宋体" w:hAnsi="宋体" w:cs="宋体"/>
          <w:color w:val="000000"/>
          <w:sz w:val="24"/>
        </w:rPr>
      </w:pPr>
      <w:r>
        <w:rPr>
          <w:rFonts w:hint="eastAsia" w:ascii="宋体" w:hAnsi="宋体" w:cs="宋体"/>
          <w:color w:val="000000"/>
          <w:sz w:val="24"/>
        </w:rPr>
        <w:t>2.开标时，投标文件的大写金额和小写金额不一致的，以最低金额为准；总价金额与单价汇总金额不一致的，以单价金额计算结果为准；单价金额小数点有明显错位的，应以总价为准，并修改单价。</w:t>
      </w:r>
    </w:p>
    <w:p>
      <w:pPr>
        <w:adjustRightInd w:val="0"/>
        <w:snapToGrid w:val="0"/>
        <w:spacing w:line="490" w:lineRule="exact"/>
        <w:ind w:firstLine="480" w:firstLineChars="200"/>
        <w:rPr>
          <w:rFonts w:ascii="宋体" w:hAnsi="宋体" w:cs="宋体"/>
          <w:color w:val="000000"/>
          <w:sz w:val="24"/>
        </w:rPr>
      </w:pPr>
      <w:r>
        <w:rPr>
          <w:rFonts w:hint="eastAsia" w:ascii="宋体" w:hAnsi="宋体" w:cs="宋体"/>
          <w:color w:val="000000"/>
          <w:sz w:val="24"/>
        </w:rPr>
        <w:t>3.投标报价应按招标文件规定的格式填写。</w:t>
      </w:r>
    </w:p>
    <w:p>
      <w:pPr>
        <w:adjustRightInd w:val="0"/>
        <w:snapToGrid w:val="0"/>
        <w:spacing w:line="490" w:lineRule="exact"/>
        <w:ind w:firstLine="480" w:firstLineChars="200"/>
        <w:rPr>
          <w:rFonts w:ascii="宋体" w:hAnsi="宋体" w:cs="宋体"/>
          <w:color w:val="000000"/>
          <w:sz w:val="24"/>
        </w:rPr>
      </w:pPr>
      <w:r>
        <w:rPr>
          <w:rFonts w:hint="eastAsia" w:ascii="宋体" w:hAnsi="宋体" w:cs="宋体"/>
          <w:color w:val="000000"/>
          <w:sz w:val="24"/>
        </w:rPr>
        <w:t>4.投标价中标明的价格应为履行合同的固定价格，投标人中标后不得以任何理由对中标价格提出变更或修改。</w:t>
      </w:r>
    </w:p>
    <w:p>
      <w:pPr>
        <w:adjustRightInd w:val="0"/>
        <w:snapToGrid w:val="0"/>
        <w:spacing w:line="490" w:lineRule="exact"/>
        <w:ind w:firstLine="480" w:firstLineChars="200"/>
        <w:rPr>
          <w:rFonts w:ascii="宋体" w:hAnsi="宋体" w:cs="宋体"/>
          <w:color w:val="000000"/>
          <w:sz w:val="24"/>
        </w:rPr>
      </w:pPr>
      <w:r>
        <w:rPr>
          <w:rFonts w:hint="eastAsia" w:ascii="宋体" w:hAnsi="宋体" w:cs="宋体"/>
          <w:color w:val="000000"/>
          <w:sz w:val="24"/>
        </w:rPr>
        <w:t>5.报价中应包含以下所有费用：</w:t>
      </w:r>
      <w:r>
        <w:rPr>
          <w:rFonts w:hint="eastAsia" w:ascii="宋体" w:hAnsi="宋体" w:cs="宋体"/>
          <w:color w:val="000000"/>
          <w:sz w:val="24"/>
          <w:lang w:val="zh-CN"/>
        </w:rPr>
        <w:t>运输费、人工费、成本、利润、税费、售后服务等全部费用，</w:t>
      </w:r>
      <w:r>
        <w:rPr>
          <w:rFonts w:hint="eastAsia" w:ascii="宋体" w:hAnsi="宋体" w:cs="宋体"/>
          <w:color w:val="000000"/>
          <w:sz w:val="24"/>
        </w:rPr>
        <w:t>凡投标人自已未列入的，招标人将认为均已包括在投标报价内。</w:t>
      </w:r>
      <w:bookmarkEnd w:id="21"/>
      <w:bookmarkEnd w:id="22"/>
      <w:bookmarkEnd w:id="23"/>
      <w:bookmarkEnd w:id="24"/>
      <w:bookmarkEnd w:id="25"/>
      <w:bookmarkEnd w:id="26"/>
      <w:bookmarkStart w:id="27" w:name="_Toc184635073"/>
      <w:bookmarkStart w:id="28" w:name="_Toc499731927"/>
      <w:bookmarkStart w:id="29" w:name="_Toc454468364"/>
      <w:bookmarkStart w:id="30" w:name="_Toc268600454"/>
      <w:bookmarkStart w:id="31" w:name="_Toc454464792"/>
      <w:bookmarkStart w:id="32" w:name="_Toc454468468"/>
    </w:p>
    <w:p>
      <w:pPr>
        <w:adjustRightInd w:val="0"/>
        <w:snapToGrid w:val="0"/>
        <w:spacing w:line="490" w:lineRule="exact"/>
        <w:ind w:firstLine="480" w:firstLineChars="200"/>
        <w:rPr>
          <w:rFonts w:ascii="宋体" w:hAnsi="宋体" w:cs="宋体"/>
          <w:color w:val="000000"/>
          <w:sz w:val="24"/>
        </w:rPr>
      </w:pPr>
    </w:p>
    <w:p>
      <w:pPr>
        <w:pStyle w:val="3"/>
        <w:spacing w:before="100" w:after="100" w:line="240" w:lineRule="auto"/>
        <w:ind w:firstLine="442" w:firstLineChars="100"/>
        <w:jc w:val="center"/>
        <w:rPr>
          <w:bCs w:val="0"/>
          <w:color w:val="000000"/>
          <w:sz w:val="44"/>
          <w:szCs w:val="44"/>
        </w:rPr>
      </w:pPr>
      <w:r>
        <w:rPr>
          <w:rFonts w:hint="eastAsia"/>
          <w:bCs w:val="0"/>
          <w:color w:val="000000"/>
          <w:sz w:val="44"/>
          <w:szCs w:val="44"/>
        </w:rPr>
        <w:t>第四章 投标文件</w:t>
      </w:r>
    </w:p>
    <w:bookmarkEnd w:id="27"/>
    <w:bookmarkEnd w:id="28"/>
    <w:bookmarkEnd w:id="29"/>
    <w:bookmarkEnd w:id="30"/>
    <w:bookmarkEnd w:id="31"/>
    <w:bookmarkEnd w:id="32"/>
    <w:p>
      <w:pPr>
        <w:adjustRightInd w:val="0"/>
        <w:snapToGrid w:val="0"/>
        <w:spacing w:line="490" w:lineRule="exact"/>
        <w:ind w:firstLine="482" w:firstLineChars="200"/>
        <w:rPr>
          <w:rFonts w:ascii="宋体" w:hAnsi="宋体" w:cs="宋体"/>
          <w:b/>
          <w:bCs/>
          <w:sz w:val="24"/>
        </w:rPr>
      </w:pPr>
      <w:r>
        <w:rPr>
          <w:rFonts w:hint="eastAsia" w:ascii="宋体" w:hAnsi="宋体" w:cs="宋体"/>
          <w:b/>
          <w:bCs/>
          <w:sz w:val="24"/>
        </w:rPr>
        <w:t>一</w:t>
      </w:r>
      <w:r>
        <w:rPr>
          <w:rFonts w:hint="eastAsia" w:ascii="宋体" w:hAnsi="宋体" w:cs="宋体"/>
          <w:b/>
          <w:bCs/>
          <w:sz w:val="24"/>
          <w:lang w:val="zh-CN"/>
        </w:rPr>
        <w:t>、</w:t>
      </w:r>
      <w:r>
        <w:rPr>
          <w:rFonts w:hint="eastAsia" w:ascii="宋体" w:hAnsi="宋体" w:cs="宋体"/>
          <w:b/>
          <w:bCs/>
          <w:sz w:val="24"/>
        </w:rPr>
        <w:t>投标文件的澄清</w:t>
      </w:r>
    </w:p>
    <w:p>
      <w:pPr>
        <w:adjustRightInd w:val="0"/>
        <w:snapToGrid w:val="0"/>
        <w:spacing w:line="490" w:lineRule="exact"/>
        <w:ind w:firstLine="480" w:firstLineChars="200"/>
        <w:rPr>
          <w:rFonts w:ascii="宋体" w:hAnsi="宋体" w:cs="宋体"/>
          <w:sz w:val="24"/>
        </w:rPr>
      </w:pPr>
      <w:r>
        <w:rPr>
          <w:rFonts w:hint="eastAsia" w:ascii="宋体" w:hAnsi="宋体" w:cs="宋体"/>
          <w:sz w:val="24"/>
        </w:rPr>
        <w:t>投标人对招标文件如有疑点，可要求澄清。任何要求澄清招标文件的投标人，均应在投标截止时间前3天以书面形式（包括信函、电报或传真，下同)通知招标人，招标人对投标截止时间前3天以前收到的澄清要求将采用适当方式予以澄清或以书面形式予以答复，并在其认为必要时，将不标明查询来源的书面答复发给已购买招标文件的每一投标人。</w:t>
      </w:r>
    </w:p>
    <w:p>
      <w:pPr>
        <w:adjustRightInd w:val="0"/>
        <w:snapToGrid w:val="0"/>
        <w:spacing w:line="490" w:lineRule="exact"/>
        <w:ind w:firstLine="482" w:firstLineChars="200"/>
        <w:rPr>
          <w:rFonts w:ascii="宋体" w:hAnsi="宋体" w:cs="宋体"/>
          <w:b/>
          <w:bCs/>
          <w:kern w:val="20"/>
          <w:sz w:val="24"/>
        </w:rPr>
      </w:pPr>
      <w:r>
        <w:rPr>
          <w:rFonts w:hint="eastAsia" w:ascii="宋体" w:hAnsi="宋体" w:cs="宋体"/>
          <w:b/>
          <w:bCs/>
          <w:kern w:val="20"/>
          <w:sz w:val="24"/>
        </w:rPr>
        <w:t>二、投标文件的组成</w:t>
      </w:r>
    </w:p>
    <w:p>
      <w:pPr>
        <w:adjustRightInd w:val="0"/>
        <w:snapToGrid w:val="0"/>
        <w:spacing w:line="490" w:lineRule="exact"/>
        <w:rPr>
          <w:rFonts w:ascii="宋体" w:hAnsi="宋体" w:cs="宋体"/>
          <w:sz w:val="24"/>
        </w:rPr>
      </w:pPr>
      <w:r>
        <w:rPr>
          <w:rFonts w:hint="eastAsia" w:ascii="宋体" w:hAnsi="宋体" w:cs="宋体"/>
          <w:sz w:val="24"/>
        </w:rPr>
        <w:t xml:space="preserve">    1 开标一览表；</w:t>
      </w:r>
    </w:p>
    <w:p>
      <w:pPr>
        <w:adjustRightInd w:val="0"/>
        <w:snapToGrid w:val="0"/>
        <w:spacing w:line="490" w:lineRule="exact"/>
        <w:ind w:firstLine="480" w:firstLineChars="200"/>
        <w:rPr>
          <w:rFonts w:ascii="宋体" w:hAnsi="宋体" w:cs="宋体"/>
          <w:sz w:val="24"/>
        </w:rPr>
      </w:pPr>
      <w:r>
        <w:rPr>
          <w:rFonts w:hint="eastAsia" w:ascii="宋体" w:hAnsi="宋体" w:cs="宋体"/>
          <w:sz w:val="24"/>
        </w:rPr>
        <w:t>2 投标函；</w:t>
      </w:r>
    </w:p>
    <w:p>
      <w:pPr>
        <w:adjustRightInd w:val="0"/>
        <w:snapToGrid w:val="0"/>
        <w:spacing w:line="490" w:lineRule="exact"/>
        <w:ind w:firstLine="480" w:firstLineChars="200"/>
        <w:rPr>
          <w:rFonts w:ascii="宋体" w:hAnsi="宋体" w:cs="宋体"/>
          <w:sz w:val="24"/>
        </w:rPr>
      </w:pPr>
      <w:r>
        <w:rPr>
          <w:rFonts w:hint="eastAsia" w:ascii="宋体" w:hAnsi="宋体" w:cs="宋体"/>
          <w:sz w:val="24"/>
        </w:rPr>
        <w:t>3投标报价；</w:t>
      </w:r>
    </w:p>
    <w:p>
      <w:pPr>
        <w:adjustRightInd w:val="0"/>
        <w:snapToGrid w:val="0"/>
        <w:spacing w:line="490" w:lineRule="exact"/>
        <w:ind w:firstLine="480" w:firstLineChars="200"/>
        <w:rPr>
          <w:rFonts w:ascii="宋体" w:hAnsi="宋体" w:cs="宋体"/>
          <w:sz w:val="24"/>
        </w:rPr>
      </w:pPr>
      <w:r>
        <w:rPr>
          <w:rFonts w:hint="eastAsia" w:ascii="宋体" w:hAnsi="宋体" w:cs="宋体"/>
          <w:sz w:val="24"/>
        </w:rPr>
        <w:t>4营业执照、税务登记证、组织机构代码证或三证合一证照（复印件加盖公章）；</w:t>
      </w:r>
    </w:p>
    <w:p>
      <w:pPr>
        <w:adjustRightInd w:val="0"/>
        <w:snapToGrid w:val="0"/>
        <w:spacing w:line="490" w:lineRule="exact"/>
        <w:ind w:firstLine="480" w:firstLineChars="200"/>
        <w:rPr>
          <w:rFonts w:ascii="宋体" w:hAnsi="宋体" w:cs="宋体"/>
          <w:sz w:val="24"/>
        </w:rPr>
      </w:pPr>
      <w:r>
        <w:rPr>
          <w:rFonts w:hint="eastAsia" w:ascii="宋体" w:hAnsi="宋体" w:cs="宋体"/>
          <w:sz w:val="24"/>
        </w:rPr>
        <w:t>5 法人或授权委托人身份证件及复印件、授权委托书原件（加盖公章）；</w:t>
      </w:r>
    </w:p>
    <w:p>
      <w:pPr>
        <w:adjustRightInd w:val="0"/>
        <w:snapToGrid w:val="0"/>
        <w:spacing w:line="490" w:lineRule="exact"/>
        <w:ind w:firstLine="480" w:firstLineChars="200"/>
        <w:rPr>
          <w:rFonts w:ascii="宋体" w:hAnsi="宋体" w:cs="宋体"/>
          <w:sz w:val="24"/>
        </w:rPr>
      </w:pPr>
      <w:r>
        <w:rPr>
          <w:rFonts w:hint="eastAsia" w:ascii="宋体" w:hAnsi="宋体" w:cs="宋体"/>
          <w:sz w:val="24"/>
        </w:rPr>
        <w:t>6 近三年业绩（中标合同或中标通知书复印件）；</w:t>
      </w:r>
    </w:p>
    <w:p>
      <w:pPr>
        <w:adjustRightInd w:val="0"/>
        <w:snapToGrid w:val="0"/>
        <w:spacing w:line="490" w:lineRule="exact"/>
        <w:ind w:firstLine="480" w:firstLineChars="200"/>
        <w:rPr>
          <w:rFonts w:ascii="宋体" w:hAnsi="宋体" w:cs="宋体"/>
          <w:sz w:val="24"/>
        </w:rPr>
      </w:pPr>
      <w:r>
        <w:rPr>
          <w:rFonts w:hint="eastAsia" w:ascii="宋体" w:hAnsi="宋体" w:cs="宋体"/>
          <w:sz w:val="24"/>
        </w:rPr>
        <w:t>7投标人资格条件所列相关行业资质；</w:t>
      </w:r>
    </w:p>
    <w:p>
      <w:pPr>
        <w:adjustRightInd w:val="0"/>
        <w:snapToGrid w:val="0"/>
        <w:spacing w:line="490" w:lineRule="exact"/>
        <w:ind w:firstLine="480" w:firstLineChars="200"/>
        <w:rPr>
          <w:rFonts w:ascii="宋体" w:hAnsi="宋体" w:cs="宋体"/>
          <w:sz w:val="24"/>
        </w:rPr>
      </w:pPr>
      <w:r>
        <w:rPr>
          <w:rFonts w:hint="eastAsia" w:ascii="宋体" w:hAnsi="宋体" w:cs="宋体"/>
          <w:sz w:val="24"/>
        </w:rPr>
        <w:t>8相关管理规章制度及服务承诺。</w:t>
      </w:r>
    </w:p>
    <w:p>
      <w:pPr>
        <w:adjustRightInd w:val="0"/>
        <w:snapToGrid w:val="0"/>
        <w:spacing w:line="490" w:lineRule="exact"/>
        <w:ind w:firstLine="482" w:firstLineChars="200"/>
        <w:rPr>
          <w:rFonts w:ascii="宋体" w:hAnsi="宋体" w:cs="宋体"/>
          <w:b/>
          <w:sz w:val="24"/>
        </w:rPr>
      </w:pPr>
      <w:r>
        <w:rPr>
          <w:rFonts w:hint="eastAsia" w:ascii="宋体" w:hAnsi="宋体" w:cs="宋体"/>
          <w:b/>
          <w:sz w:val="24"/>
        </w:rPr>
        <w:t>三、投标文件的递交</w:t>
      </w:r>
    </w:p>
    <w:p>
      <w:pPr>
        <w:spacing w:line="490" w:lineRule="exact"/>
        <w:rPr>
          <w:rFonts w:ascii="宋体" w:hAnsi="宋体" w:cs="宋体"/>
          <w:b/>
          <w:sz w:val="24"/>
        </w:rPr>
      </w:pPr>
      <w:r>
        <w:rPr>
          <w:rFonts w:hint="eastAsia" w:ascii="宋体" w:hAnsi="宋体" w:cs="宋体"/>
          <w:b/>
          <w:sz w:val="24"/>
        </w:rPr>
        <w:t xml:space="preserve">    四、投标文件的密封和标记</w:t>
      </w:r>
    </w:p>
    <w:p>
      <w:pPr>
        <w:spacing w:line="490" w:lineRule="exact"/>
        <w:rPr>
          <w:rFonts w:ascii="宋体" w:hAnsi="宋体" w:cs="宋体"/>
          <w:sz w:val="24"/>
        </w:rPr>
      </w:pPr>
      <w:r>
        <w:rPr>
          <w:rFonts w:hint="eastAsia" w:ascii="宋体" w:hAnsi="宋体" w:cs="宋体"/>
          <w:sz w:val="24"/>
        </w:rPr>
        <w:t xml:space="preserve">    1.投标文件正本一份，副本贰份。投标人应将投标文件</w:t>
      </w:r>
      <w:r>
        <w:rPr>
          <w:rFonts w:hint="eastAsia" w:ascii="宋体" w:hAnsi="宋体" w:cs="宋体"/>
          <w:b/>
          <w:color w:val="000000"/>
          <w:sz w:val="24"/>
        </w:rPr>
        <w:t>正本、副本分开</w:t>
      </w:r>
      <w:r>
        <w:rPr>
          <w:rFonts w:hint="eastAsia" w:ascii="宋体" w:hAnsi="宋体" w:cs="宋体"/>
          <w:b/>
          <w:sz w:val="24"/>
        </w:rPr>
        <w:t>用信封密封，“正本”、“副本”应标明“正本”、“副本”字样</w:t>
      </w:r>
      <w:r>
        <w:rPr>
          <w:rFonts w:hint="eastAsia" w:ascii="宋体" w:hAnsi="宋体" w:cs="宋体"/>
          <w:sz w:val="24"/>
        </w:rPr>
        <w:t>，并注明投标项目名称、投标编号、投标单位名称。</w:t>
      </w:r>
    </w:p>
    <w:p>
      <w:pPr>
        <w:spacing w:line="490" w:lineRule="exact"/>
        <w:ind w:left="520"/>
        <w:rPr>
          <w:rFonts w:ascii="宋体" w:hAnsi="宋体" w:cs="宋体"/>
          <w:sz w:val="24"/>
        </w:rPr>
      </w:pPr>
      <w:r>
        <w:rPr>
          <w:rFonts w:hint="eastAsia" w:ascii="宋体" w:hAnsi="宋体" w:cs="宋体"/>
          <w:sz w:val="24"/>
        </w:rPr>
        <w:t>2. 信封上应注明如下内容：</w:t>
      </w:r>
    </w:p>
    <w:p>
      <w:pPr>
        <w:spacing w:line="490" w:lineRule="exact"/>
        <w:rPr>
          <w:rFonts w:ascii="宋体" w:hAnsi="宋体" w:cs="宋体"/>
          <w:sz w:val="24"/>
        </w:rPr>
      </w:pPr>
      <w:r>
        <w:rPr>
          <w:rFonts w:hint="eastAsia" w:ascii="宋体" w:hAnsi="宋体" w:cs="宋体"/>
          <w:sz w:val="24"/>
        </w:rPr>
        <w:t xml:space="preserve">   （1）“正本”、“副本”或“投标一览表”及“投标文件”字样，并在封口处加盖单位公章；</w:t>
      </w:r>
    </w:p>
    <w:p>
      <w:pPr>
        <w:spacing w:line="490" w:lineRule="exact"/>
        <w:rPr>
          <w:rFonts w:ascii="宋体" w:hAnsi="宋体" w:cs="宋体"/>
          <w:sz w:val="24"/>
        </w:rPr>
      </w:pPr>
      <w:r>
        <w:rPr>
          <w:rFonts w:hint="eastAsia" w:ascii="宋体" w:hAnsi="宋体" w:cs="宋体"/>
          <w:sz w:val="24"/>
        </w:rPr>
        <w:t xml:space="preserve">   （2） 注明项目名称、招标编号及”请勿在</w:t>
      </w:r>
      <w:r>
        <w:rPr>
          <w:rFonts w:hint="eastAsia" w:ascii="宋体" w:hAnsi="宋体" w:cs="宋体"/>
          <w:sz w:val="24"/>
          <w:u w:val="single"/>
        </w:rPr>
        <w:t xml:space="preserve">      </w:t>
      </w:r>
      <w:r>
        <w:rPr>
          <w:rFonts w:hint="eastAsia" w:ascii="宋体" w:hAnsi="宋体" w:cs="宋体"/>
          <w:sz w:val="24"/>
        </w:rPr>
        <w:t xml:space="preserve"> 日</w:t>
      </w:r>
      <w:r>
        <w:rPr>
          <w:rFonts w:hint="eastAsia" w:ascii="宋体" w:hAnsi="宋体" w:cs="宋体"/>
          <w:sz w:val="24"/>
          <w:u w:val="single"/>
        </w:rPr>
        <w:t xml:space="preserve">     </w:t>
      </w:r>
      <w:r>
        <w:rPr>
          <w:rFonts w:hint="eastAsia" w:ascii="宋体" w:hAnsi="宋体" w:cs="宋体"/>
          <w:sz w:val="24"/>
        </w:rPr>
        <w:t>之前启封”字样；</w:t>
      </w:r>
    </w:p>
    <w:p>
      <w:pPr>
        <w:spacing w:line="490" w:lineRule="exact"/>
        <w:rPr>
          <w:rFonts w:ascii="宋体" w:hAnsi="宋体" w:cs="宋体"/>
          <w:sz w:val="24"/>
        </w:rPr>
      </w:pPr>
      <w:r>
        <w:rPr>
          <w:rFonts w:hint="eastAsia" w:ascii="宋体" w:hAnsi="宋体" w:cs="宋体"/>
          <w:sz w:val="24"/>
        </w:rPr>
        <w:t xml:space="preserve">   （3） 投标人名称、地址、投标项目名称和投标编号。</w:t>
      </w:r>
    </w:p>
    <w:p>
      <w:pPr>
        <w:spacing w:line="490" w:lineRule="exact"/>
        <w:rPr>
          <w:rFonts w:ascii="宋体" w:hAnsi="宋体" w:cs="宋体"/>
          <w:sz w:val="24"/>
        </w:rPr>
      </w:pPr>
      <w:r>
        <w:rPr>
          <w:rFonts w:hint="eastAsia" w:ascii="宋体" w:hAnsi="宋体" w:cs="宋体"/>
          <w:sz w:val="24"/>
        </w:rPr>
        <w:t xml:space="preserve">    如果一旦其投标被宣布为“迟到”投标或不合格的投标文件时，能原封退回；</w:t>
      </w:r>
    </w:p>
    <w:p>
      <w:pPr>
        <w:spacing w:line="490" w:lineRule="exact"/>
        <w:ind w:firstLine="240" w:firstLineChars="100"/>
        <w:rPr>
          <w:rFonts w:ascii="宋体" w:hAnsi="宋体" w:cs="宋体"/>
          <w:sz w:val="24"/>
        </w:rPr>
      </w:pPr>
      <w:r>
        <w:rPr>
          <w:rFonts w:hint="eastAsia" w:ascii="宋体" w:hAnsi="宋体" w:cs="宋体"/>
          <w:sz w:val="24"/>
        </w:rPr>
        <w:t xml:space="preserve">  3.如果信封上未按上述要求密封或加写标记，招标人对误投不负责任；</w:t>
      </w:r>
    </w:p>
    <w:p>
      <w:pPr>
        <w:spacing w:line="490" w:lineRule="exact"/>
        <w:rPr>
          <w:rFonts w:ascii="宋体" w:hAnsi="宋体" w:cs="宋体"/>
          <w:sz w:val="24"/>
        </w:rPr>
      </w:pPr>
      <w:r>
        <w:rPr>
          <w:rFonts w:hint="eastAsia" w:ascii="宋体" w:hAnsi="宋体" w:cs="宋体"/>
          <w:sz w:val="24"/>
        </w:rPr>
        <w:t xml:space="preserve">    4. </w:t>
      </w:r>
      <w:r>
        <w:rPr>
          <w:rFonts w:hint="eastAsia" w:ascii="宋体" w:hAnsi="宋体" w:cs="宋体"/>
          <w:b/>
          <w:sz w:val="24"/>
        </w:rPr>
        <w:t>开标一览表2份，</w:t>
      </w:r>
      <w:r>
        <w:rPr>
          <w:rFonts w:ascii="宋体" w:hAnsi="宋体" w:cs="宋体"/>
          <w:b/>
          <w:sz w:val="24"/>
        </w:rPr>
        <w:t>2</w:t>
      </w:r>
      <w:r>
        <w:rPr>
          <w:rFonts w:hint="eastAsia" w:ascii="宋体" w:hAnsi="宋体" w:cs="宋体"/>
          <w:b/>
          <w:sz w:val="24"/>
        </w:rPr>
        <w:t>份签字盖章后单独密封在小信封内，标明“开标一览表”字样，并将此小信封单独封装。</w:t>
      </w:r>
    </w:p>
    <w:p>
      <w:pPr>
        <w:spacing w:line="490" w:lineRule="exact"/>
        <w:rPr>
          <w:rFonts w:ascii="宋体" w:hAnsi="宋体" w:cs="宋体"/>
          <w:b/>
          <w:sz w:val="24"/>
        </w:rPr>
      </w:pPr>
      <w:r>
        <w:rPr>
          <w:rFonts w:hint="eastAsia" w:ascii="宋体" w:hAnsi="宋体" w:cs="宋体"/>
          <w:b/>
          <w:sz w:val="24"/>
        </w:rPr>
        <w:t xml:space="preserve">    五、投标截止日期</w:t>
      </w:r>
    </w:p>
    <w:p>
      <w:pPr>
        <w:spacing w:line="490" w:lineRule="exact"/>
        <w:ind w:firstLine="480" w:firstLineChars="200"/>
        <w:rPr>
          <w:rFonts w:ascii="宋体" w:hAnsi="宋体" w:cs="宋体"/>
          <w:sz w:val="24"/>
        </w:rPr>
      </w:pPr>
      <w:r>
        <w:rPr>
          <w:rFonts w:hint="eastAsia" w:ascii="宋体" w:hAnsi="宋体" w:cs="宋体"/>
          <w:sz w:val="24"/>
        </w:rPr>
        <w:t>投标文件应在“</w:t>
      </w:r>
      <w:r>
        <w:rPr>
          <w:rFonts w:hint="eastAsia" w:ascii="宋体" w:hAnsi="宋体" w:cs="宋体"/>
          <w:sz w:val="24"/>
          <w:lang w:eastAsia="zh-CN"/>
        </w:rPr>
        <w:t>招标公告</w:t>
      </w:r>
      <w:r>
        <w:rPr>
          <w:rFonts w:hint="eastAsia" w:ascii="宋体" w:hAnsi="宋体" w:cs="宋体"/>
          <w:sz w:val="24"/>
        </w:rPr>
        <w:t>”规定的投标截止时间之前派人送至招标人，截止时间之后送交的投标文件为无效投标。</w:t>
      </w:r>
    </w:p>
    <w:p>
      <w:pPr>
        <w:spacing w:line="490" w:lineRule="exact"/>
        <w:ind w:firstLine="354" w:firstLineChars="147"/>
        <w:rPr>
          <w:rFonts w:ascii="宋体" w:hAnsi="宋体" w:cs="宋体"/>
          <w:b/>
          <w:sz w:val="24"/>
        </w:rPr>
      </w:pPr>
      <w:r>
        <w:rPr>
          <w:rFonts w:hint="eastAsia" w:ascii="宋体" w:hAnsi="宋体" w:cs="宋体"/>
          <w:b/>
          <w:sz w:val="24"/>
        </w:rPr>
        <w:t>六、其他</w:t>
      </w:r>
    </w:p>
    <w:p>
      <w:pPr>
        <w:autoSpaceDE w:val="0"/>
        <w:autoSpaceDN w:val="0"/>
        <w:adjustRightInd w:val="0"/>
        <w:spacing w:line="490" w:lineRule="exact"/>
        <w:ind w:firstLine="352" w:firstLineChars="147"/>
        <w:jc w:val="left"/>
        <w:rPr>
          <w:rStyle w:val="19"/>
          <w:rFonts w:ascii="宋体" w:hAnsi="宋体" w:cs="宋体"/>
        </w:rPr>
      </w:pPr>
      <w:r>
        <w:rPr>
          <w:rFonts w:hint="eastAsia" w:ascii="宋体" w:hAnsi="宋体" w:cs="宋体"/>
          <w:kern w:val="0"/>
          <w:sz w:val="24"/>
        </w:rPr>
        <w:t>本文件未涉及事项，在签订合同时供需方商定。</w:t>
      </w:r>
    </w:p>
    <w:p>
      <w:pPr>
        <w:pStyle w:val="3"/>
        <w:spacing w:before="100" w:after="100" w:line="240" w:lineRule="auto"/>
        <w:rPr>
          <w:bCs w:val="0"/>
          <w:color w:val="000000"/>
          <w:sz w:val="44"/>
          <w:szCs w:val="44"/>
        </w:rPr>
      </w:pPr>
      <w:bookmarkStart w:id="33" w:name="_Toc454464794"/>
      <w:bookmarkStart w:id="34" w:name="_Toc454468375"/>
      <w:bookmarkStart w:id="35" w:name="_Toc184635075"/>
      <w:bookmarkStart w:id="36" w:name="_Toc454468470"/>
      <w:bookmarkStart w:id="37" w:name="_Toc499731938"/>
      <w:bookmarkStart w:id="38" w:name="_Toc268600456"/>
    </w:p>
    <w:p>
      <w:pPr>
        <w:pStyle w:val="3"/>
        <w:spacing w:before="100" w:after="100" w:line="240" w:lineRule="auto"/>
        <w:jc w:val="center"/>
        <w:rPr>
          <w:bCs w:val="0"/>
          <w:color w:val="000000"/>
          <w:sz w:val="44"/>
          <w:szCs w:val="44"/>
        </w:rPr>
      </w:pPr>
    </w:p>
    <w:p>
      <w:pPr>
        <w:pStyle w:val="3"/>
        <w:spacing w:before="100" w:after="100" w:line="240" w:lineRule="auto"/>
        <w:jc w:val="center"/>
        <w:rPr>
          <w:bCs w:val="0"/>
          <w:color w:val="000000"/>
          <w:sz w:val="44"/>
          <w:szCs w:val="44"/>
        </w:rPr>
      </w:pPr>
    </w:p>
    <w:p>
      <w:pPr>
        <w:pStyle w:val="3"/>
        <w:spacing w:before="100" w:after="100" w:line="240" w:lineRule="auto"/>
        <w:jc w:val="center"/>
        <w:rPr>
          <w:bCs w:val="0"/>
          <w:color w:val="000000"/>
          <w:sz w:val="44"/>
          <w:szCs w:val="44"/>
        </w:rPr>
      </w:pPr>
      <w:r>
        <w:rPr>
          <w:rFonts w:hint="eastAsia"/>
          <w:bCs w:val="0"/>
          <w:color w:val="000000"/>
          <w:sz w:val="44"/>
          <w:szCs w:val="44"/>
        </w:rPr>
        <w:t>第五章 开标</w:t>
      </w:r>
    </w:p>
    <w:p>
      <w:pPr>
        <w:pStyle w:val="3"/>
        <w:spacing w:before="100" w:after="100" w:line="240" w:lineRule="auto"/>
        <w:rPr>
          <w:b w:val="0"/>
          <w:color w:val="000000"/>
        </w:rPr>
      </w:pPr>
      <w:r>
        <w:rPr>
          <w:rFonts w:hint="eastAsia"/>
          <w:b w:val="0"/>
          <w:color w:val="000000"/>
        </w:rPr>
        <w:t>5．开标</w:t>
      </w:r>
      <w:bookmarkEnd w:id="33"/>
      <w:bookmarkEnd w:id="34"/>
      <w:bookmarkEnd w:id="35"/>
      <w:bookmarkEnd w:id="36"/>
      <w:bookmarkEnd w:id="37"/>
      <w:bookmarkEnd w:id="38"/>
    </w:p>
    <w:p>
      <w:pPr>
        <w:pStyle w:val="4"/>
        <w:spacing w:before="60" w:after="60" w:line="240" w:lineRule="auto"/>
        <w:rPr>
          <w:b w:val="0"/>
          <w:color w:val="000000"/>
        </w:rPr>
      </w:pPr>
      <w:bookmarkStart w:id="39" w:name="_Toc499731939"/>
      <w:bookmarkStart w:id="40" w:name="_Toc454468376"/>
      <w:r>
        <w:rPr>
          <w:rFonts w:hint="eastAsia"/>
          <w:b w:val="0"/>
          <w:color w:val="000000"/>
        </w:rPr>
        <w:t>5.1 开标时间和地点</w:t>
      </w:r>
      <w:bookmarkEnd w:id="39"/>
      <w:bookmarkEnd w:id="40"/>
    </w:p>
    <w:p>
      <w:pPr>
        <w:spacing w:line="360" w:lineRule="auto"/>
        <w:ind w:firstLine="420" w:firstLineChars="200"/>
        <w:rPr>
          <w:rFonts w:ascii="宋体" w:hAnsi="宋体"/>
          <w:color w:val="000000"/>
          <w:szCs w:val="21"/>
        </w:rPr>
      </w:pPr>
      <w:r>
        <w:rPr>
          <w:rFonts w:hint="eastAsia" w:ascii="宋体" w:hAnsi="宋体"/>
          <w:color w:val="000000"/>
          <w:szCs w:val="21"/>
        </w:rPr>
        <w:t>以招标文件规定的时间为准。</w:t>
      </w:r>
    </w:p>
    <w:p>
      <w:pPr>
        <w:pStyle w:val="4"/>
        <w:spacing w:before="60" w:after="60" w:line="240" w:lineRule="auto"/>
        <w:rPr>
          <w:b w:val="0"/>
          <w:color w:val="000000"/>
        </w:rPr>
      </w:pPr>
      <w:bookmarkStart w:id="41" w:name="_Toc454468377"/>
      <w:bookmarkStart w:id="42" w:name="_Toc499731940"/>
      <w:r>
        <w:rPr>
          <w:rFonts w:hint="eastAsia"/>
          <w:b w:val="0"/>
          <w:color w:val="000000"/>
        </w:rPr>
        <w:t>5.2 开标程序</w:t>
      </w:r>
      <w:bookmarkEnd w:id="41"/>
      <w:bookmarkEnd w:id="42"/>
    </w:p>
    <w:p>
      <w:pPr>
        <w:spacing w:line="360" w:lineRule="auto"/>
        <w:ind w:firstLine="420" w:firstLineChars="200"/>
        <w:rPr>
          <w:rFonts w:ascii="宋体" w:hAnsi="宋体"/>
          <w:color w:val="000000"/>
          <w:szCs w:val="21"/>
        </w:rPr>
      </w:pPr>
      <w:r>
        <w:rPr>
          <w:rFonts w:hint="eastAsia" w:ascii="宋体" w:hAnsi="宋体"/>
          <w:color w:val="000000"/>
          <w:szCs w:val="21"/>
        </w:rPr>
        <w:t>5.2.1主持人按下列程序进行开标：</w:t>
      </w:r>
    </w:p>
    <w:p>
      <w:pPr>
        <w:spacing w:line="360" w:lineRule="auto"/>
        <w:ind w:firstLine="420" w:firstLineChars="200"/>
        <w:rPr>
          <w:rFonts w:ascii="宋体" w:hAnsi="宋体"/>
          <w:color w:val="000000"/>
          <w:szCs w:val="21"/>
        </w:rPr>
      </w:pPr>
      <w:r>
        <w:rPr>
          <w:rFonts w:hint="eastAsia" w:ascii="宋体" w:hAnsi="宋体"/>
          <w:color w:val="000000"/>
          <w:szCs w:val="21"/>
        </w:rPr>
        <w:t>(l）采购人、监督人、供应商及开标工作人员签到，投标书送达签收；</w:t>
      </w:r>
    </w:p>
    <w:p>
      <w:pPr>
        <w:spacing w:line="360" w:lineRule="auto"/>
        <w:ind w:firstLine="420" w:firstLineChars="200"/>
        <w:rPr>
          <w:rFonts w:ascii="宋体" w:hAnsi="宋体"/>
          <w:color w:val="000000"/>
          <w:szCs w:val="21"/>
        </w:rPr>
      </w:pPr>
      <w:r>
        <w:rPr>
          <w:rFonts w:hint="eastAsia" w:ascii="宋体" w:hAnsi="宋体"/>
          <w:color w:val="000000"/>
          <w:szCs w:val="21"/>
        </w:rPr>
        <w:t>(2）公布在投标截止时间前递交投标文件的投标人名称，并点名确认投标人是否派人到场；</w:t>
      </w:r>
    </w:p>
    <w:p>
      <w:pPr>
        <w:spacing w:line="360" w:lineRule="auto"/>
        <w:ind w:firstLine="420" w:firstLineChars="200"/>
        <w:rPr>
          <w:rFonts w:ascii="宋体" w:hAnsi="宋体"/>
          <w:color w:val="000000"/>
          <w:szCs w:val="21"/>
        </w:rPr>
      </w:pPr>
      <w:r>
        <w:rPr>
          <w:rFonts w:hint="eastAsia" w:ascii="宋体" w:hAnsi="宋体"/>
          <w:color w:val="000000"/>
          <w:szCs w:val="21"/>
        </w:rPr>
        <w:t>(3）宣布开标人、唱标人、记录人、监标人等有关人员姓名；</w:t>
      </w:r>
    </w:p>
    <w:p>
      <w:pPr>
        <w:spacing w:line="360" w:lineRule="auto"/>
        <w:ind w:firstLine="420" w:firstLineChars="200"/>
        <w:rPr>
          <w:rFonts w:ascii="宋体" w:hAnsi="宋体"/>
          <w:color w:val="000000"/>
          <w:szCs w:val="21"/>
        </w:rPr>
      </w:pPr>
      <w:r>
        <w:rPr>
          <w:rFonts w:hint="eastAsia" w:ascii="宋体" w:hAnsi="宋体"/>
          <w:color w:val="000000"/>
          <w:szCs w:val="21"/>
        </w:rPr>
        <w:t>(4）由招标人宣布开标纪律；</w:t>
      </w:r>
    </w:p>
    <w:p>
      <w:pPr>
        <w:spacing w:line="360" w:lineRule="auto"/>
        <w:ind w:firstLine="420" w:firstLineChars="200"/>
        <w:rPr>
          <w:rFonts w:ascii="宋体" w:hAnsi="宋体"/>
          <w:color w:val="000000"/>
          <w:szCs w:val="21"/>
        </w:rPr>
      </w:pPr>
      <w:r>
        <w:rPr>
          <w:rFonts w:hint="eastAsia" w:ascii="宋体" w:hAnsi="宋体"/>
          <w:color w:val="000000"/>
          <w:szCs w:val="21"/>
        </w:rPr>
        <w:t>(5）检查投标文件的密封情况；</w:t>
      </w:r>
    </w:p>
    <w:p>
      <w:pPr>
        <w:spacing w:line="360" w:lineRule="auto"/>
        <w:ind w:firstLine="420" w:firstLineChars="200"/>
        <w:rPr>
          <w:rFonts w:ascii="宋体" w:hAnsi="宋体"/>
          <w:color w:val="000000"/>
          <w:szCs w:val="21"/>
        </w:rPr>
      </w:pPr>
      <w:r>
        <w:rPr>
          <w:rFonts w:hint="eastAsia" w:ascii="宋体" w:hAnsi="宋体"/>
          <w:color w:val="000000"/>
          <w:szCs w:val="21"/>
        </w:rPr>
        <w:t>(6）宣布投标文件开标顺序；</w:t>
      </w:r>
    </w:p>
    <w:p>
      <w:pPr>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）投标人代表、采购人代表、监标人、记录人等有关人员在开标记录上签字确认；</w:t>
      </w:r>
    </w:p>
    <w:p>
      <w:pPr>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8</w:t>
      </w:r>
      <w:r>
        <w:rPr>
          <w:rFonts w:hint="eastAsia" w:ascii="宋体" w:hAnsi="宋体"/>
          <w:color w:val="000000"/>
          <w:szCs w:val="21"/>
        </w:rPr>
        <w:t>）开标结束。</w:t>
      </w:r>
      <w:bookmarkStart w:id="43" w:name="_Toc268600457"/>
      <w:bookmarkStart w:id="44" w:name="_Toc499731941"/>
      <w:bookmarkStart w:id="45" w:name="_Toc454464795"/>
      <w:bookmarkStart w:id="46" w:name="_Toc184635076"/>
      <w:bookmarkStart w:id="47" w:name="_Toc454468378"/>
      <w:bookmarkStart w:id="48" w:name="_Toc454468471"/>
    </w:p>
    <w:p>
      <w:pPr>
        <w:spacing w:line="360" w:lineRule="auto"/>
        <w:ind w:firstLine="420" w:firstLineChars="200"/>
        <w:rPr>
          <w:rFonts w:ascii="宋体" w:hAnsi="宋体"/>
          <w:color w:val="000000"/>
          <w:szCs w:val="21"/>
        </w:rPr>
      </w:pPr>
    </w:p>
    <w:p>
      <w:pPr>
        <w:pStyle w:val="3"/>
        <w:spacing w:before="100" w:after="100" w:line="240" w:lineRule="auto"/>
        <w:rPr>
          <w:bCs w:val="0"/>
          <w:color w:val="000000"/>
          <w:sz w:val="44"/>
          <w:szCs w:val="44"/>
        </w:rPr>
      </w:pPr>
    </w:p>
    <w:p>
      <w:pPr>
        <w:rPr>
          <w:color w:val="000000"/>
        </w:rPr>
      </w:pPr>
    </w:p>
    <w:p>
      <w:pPr>
        <w:pStyle w:val="3"/>
        <w:spacing w:before="100" w:after="100" w:line="240" w:lineRule="auto"/>
        <w:jc w:val="center"/>
        <w:rPr>
          <w:bCs w:val="0"/>
          <w:color w:val="000000"/>
          <w:sz w:val="44"/>
          <w:szCs w:val="44"/>
        </w:rPr>
      </w:pPr>
      <w:r>
        <w:rPr>
          <w:rFonts w:hint="eastAsia"/>
          <w:bCs w:val="0"/>
          <w:color w:val="000000"/>
          <w:sz w:val="44"/>
          <w:szCs w:val="44"/>
        </w:rPr>
        <w:t>第六章 评标</w:t>
      </w:r>
    </w:p>
    <w:p>
      <w:pPr>
        <w:pStyle w:val="3"/>
        <w:spacing w:before="100" w:after="100" w:line="240" w:lineRule="auto"/>
        <w:rPr>
          <w:b w:val="0"/>
          <w:color w:val="000000"/>
        </w:rPr>
      </w:pPr>
      <w:r>
        <w:rPr>
          <w:rFonts w:hint="eastAsia"/>
          <w:b w:val="0"/>
          <w:color w:val="000000"/>
        </w:rPr>
        <w:t>6．评标</w:t>
      </w:r>
      <w:bookmarkEnd w:id="43"/>
      <w:bookmarkEnd w:id="44"/>
      <w:bookmarkEnd w:id="45"/>
      <w:bookmarkEnd w:id="46"/>
      <w:bookmarkEnd w:id="47"/>
      <w:bookmarkEnd w:id="48"/>
      <w:bookmarkStart w:id="49" w:name="_Toc499731942"/>
      <w:bookmarkStart w:id="50" w:name="_Toc454468379"/>
    </w:p>
    <w:p>
      <w:pPr>
        <w:pStyle w:val="4"/>
        <w:spacing w:before="60" w:after="60" w:line="240" w:lineRule="auto"/>
        <w:rPr>
          <w:rFonts w:ascii="宋体" w:hAnsi="宋体"/>
          <w:b w:val="0"/>
          <w:color w:val="000000"/>
          <w:szCs w:val="21"/>
        </w:rPr>
      </w:pPr>
      <w:r>
        <w:rPr>
          <w:rFonts w:hint="eastAsia"/>
          <w:b w:val="0"/>
          <w:color w:val="000000"/>
        </w:rPr>
        <w:t>6.1 评标委员会</w:t>
      </w:r>
      <w:bookmarkEnd w:id="49"/>
      <w:bookmarkEnd w:id="50"/>
    </w:p>
    <w:p>
      <w:pPr>
        <w:spacing w:line="360" w:lineRule="auto"/>
        <w:ind w:firstLine="420" w:firstLineChars="200"/>
        <w:rPr>
          <w:rFonts w:ascii="宋体" w:hAnsi="宋体"/>
          <w:color w:val="000000"/>
          <w:szCs w:val="21"/>
        </w:rPr>
      </w:pPr>
      <w:r>
        <w:rPr>
          <w:rFonts w:hint="eastAsia" w:ascii="宋体" w:hAnsi="宋体"/>
          <w:color w:val="000000"/>
          <w:szCs w:val="21"/>
        </w:rPr>
        <w:t>6.1.1 评标由采购人依法组建的评标委员会负责。评标委员会成员人数以及技术、经济等方面专家的确定方式见投标人须知前附表。</w:t>
      </w:r>
    </w:p>
    <w:p>
      <w:pPr>
        <w:spacing w:line="360" w:lineRule="auto"/>
        <w:ind w:firstLine="420" w:firstLineChars="200"/>
        <w:rPr>
          <w:rFonts w:ascii="宋体" w:hAnsi="宋体"/>
          <w:color w:val="000000"/>
          <w:szCs w:val="21"/>
        </w:rPr>
      </w:pPr>
      <w:r>
        <w:rPr>
          <w:rFonts w:hint="eastAsia" w:ascii="宋体" w:hAnsi="宋体"/>
          <w:color w:val="000000"/>
          <w:szCs w:val="21"/>
        </w:rPr>
        <w:t>6.1.2</w:t>
      </w:r>
      <w:r>
        <w:rPr>
          <w:rFonts w:ascii="宋体" w:hAnsi="宋体"/>
          <w:color w:val="000000"/>
          <w:szCs w:val="21"/>
        </w:rPr>
        <w:t>评标委员会独立履行下列职责</w:t>
      </w:r>
    </w:p>
    <w:p>
      <w:pPr>
        <w:spacing w:line="360" w:lineRule="auto"/>
        <w:ind w:firstLine="420" w:firstLineChars="200"/>
        <w:rPr>
          <w:rFonts w:ascii="宋体" w:hAnsi="宋体"/>
          <w:color w:val="000000"/>
          <w:szCs w:val="21"/>
        </w:rPr>
      </w:pPr>
      <w:r>
        <w:rPr>
          <w:rFonts w:hint="eastAsia" w:ascii="宋体" w:hAnsi="宋体"/>
          <w:color w:val="000000"/>
          <w:szCs w:val="21"/>
        </w:rPr>
        <w:t>（1）</w:t>
      </w:r>
      <w:r>
        <w:rPr>
          <w:rFonts w:ascii="宋体" w:hAnsi="宋体"/>
          <w:color w:val="000000"/>
          <w:szCs w:val="21"/>
        </w:rPr>
        <w:t>审查投标文件是否符合</w:t>
      </w:r>
      <w:r>
        <w:rPr>
          <w:rFonts w:hint="eastAsia" w:ascii="宋体" w:hAnsi="宋体"/>
          <w:color w:val="000000"/>
          <w:szCs w:val="21"/>
        </w:rPr>
        <w:t>招标</w:t>
      </w:r>
      <w:r>
        <w:rPr>
          <w:rFonts w:ascii="宋体" w:hAnsi="宋体"/>
          <w:color w:val="000000"/>
          <w:szCs w:val="21"/>
        </w:rPr>
        <w:t>文件要求，按照评标原则和评审办法逐一对合格投标供应商的投标做出比较和评价；</w:t>
      </w:r>
    </w:p>
    <w:p>
      <w:pPr>
        <w:spacing w:line="360" w:lineRule="auto"/>
        <w:ind w:firstLine="420" w:firstLineChars="200"/>
        <w:rPr>
          <w:rFonts w:ascii="宋体" w:hAnsi="宋体"/>
          <w:color w:val="000000"/>
          <w:szCs w:val="21"/>
        </w:rPr>
      </w:pPr>
      <w:r>
        <w:rPr>
          <w:rFonts w:hint="eastAsia" w:ascii="宋体" w:hAnsi="宋体"/>
          <w:color w:val="000000"/>
          <w:szCs w:val="21"/>
        </w:rPr>
        <w:t>（2）</w:t>
      </w:r>
      <w:r>
        <w:rPr>
          <w:rFonts w:ascii="宋体" w:hAnsi="宋体"/>
          <w:color w:val="000000"/>
          <w:szCs w:val="21"/>
        </w:rPr>
        <w:t>要求投标供应商对投标文件有关事项做出解释或者澄清；</w:t>
      </w:r>
    </w:p>
    <w:p>
      <w:pPr>
        <w:spacing w:line="360" w:lineRule="auto"/>
        <w:ind w:firstLine="420" w:firstLineChars="200"/>
        <w:rPr>
          <w:rFonts w:ascii="宋体" w:hAnsi="宋体"/>
          <w:color w:val="000000"/>
          <w:szCs w:val="21"/>
        </w:rPr>
      </w:pPr>
      <w:r>
        <w:rPr>
          <w:rFonts w:hint="eastAsia" w:ascii="宋体" w:hAnsi="宋体"/>
          <w:color w:val="000000"/>
          <w:szCs w:val="21"/>
        </w:rPr>
        <w:t>（3）对公示期内投标人提出质疑做出书面回复。</w:t>
      </w:r>
    </w:p>
    <w:p>
      <w:pPr>
        <w:spacing w:line="360" w:lineRule="auto"/>
        <w:ind w:firstLine="420" w:firstLineChars="200"/>
        <w:rPr>
          <w:rFonts w:ascii="宋体" w:hAnsi="宋体"/>
          <w:color w:val="000000"/>
          <w:szCs w:val="21"/>
        </w:rPr>
      </w:pPr>
      <w:r>
        <w:rPr>
          <w:rFonts w:hint="eastAsia" w:ascii="宋体" w:hAnsi="宋体"/>
          <w:color w:val="000000"/>
          <w:szCs w:val="21"/>
        </w:rPr>
        <w:t>6.1.3 评标委员会成员有下列情形之一的，应当回避：</w:t>
      </w:r>
    </w:p>
    <w:p>
      <w:pPr>
        <w:spacing w:line="360" w:lineRule="auto"/>
        <w:ind w:firstLine="420" w:firstLineChars="200"/>
        <w:rPr>
          <w:rFonts w:ascii="宋体" w:hAnsi="宋体"/>
          <w:color w:val="000000"/>
          <w:szCs w:val="21"/>
        </w:rPr>
      </w:pPr>
      <w:r>
        <w:rPr>
          <w:rFonts w:hint="eastAsia" w:ascii="宋体" w:hAnsi="宋体"/>
          <w:color w:val="000000"/>
          <w:szCs w:val="21"/>
        </w:rPr>
        <w:t>（1）采购人或投标人的主要负责人的近亲属；</w:t>
      </w:r>
    </w:p>
    <w:p>
      <w:pPr>
        <w:spacing w:line="360" w:lineRule="auto"/>
        <w:ind w:firstLine="420" w:firstLineChars="200"/>
        <w:rPr>
          <w:rFonts w:ascii="宋体" w:hAnsi="宋体"/>
          <w:color w:val="000000"/>
          <w:szCs w:val="21"/>
        </w:rPr>
      </w:pPr>
      <w:r>
        <w:rPr>
          <w:rFonts w:hint="eastAsia" w:ascii="宋体" w:hAnsi="宋体"/>
          <w:color w:val="000000"/>
          <w:szCs w:val="21"/>
        </w:rPr>
        <w:t>（2）项目主管部门或者行政监督部门的人员：</w:t>
      </w:r>
    </w:p>
    <w:p>
      <w:pPr>
        <w:spacing w:line="360" w:lineRule="auto"/>
        <w:ind w:firstLine="420" w:firstLineChars="200"/>
        <w:rPr>
          <w:rFonts w:ascii="宋体" w:hAnsi="宋体"/>
          <w:color w:val="000000"/>
          <w:szCs w:val="21"/>
        </w:rPr>
      </w:pPr>
      <w:r>
        <w:rPr>
          <w:rFonts w:hint="eastAsia" w:ascii="宋体" w:hAnsi="宋体"/>
          <w:color w:val="000000"/>
          <w:szCs w:val="21"/>
        </w:rPr>
        <w:t xml:space="preserve">（3）与投标人有经济利益关系，可能影响对投标公正评审的； </w:t>
      </w:r>
    </w:p>
    <w:p>
      <w:pPr>
        <w:spacing w:line="360" w:lineRule="auto"/>
        <w:ind w:firstLine="420" w:firstLineChars="200"/>
        <w:rPr>
          <w:rFonts w:ascii="宋体" w:hAnsi="宋体"/>
          <w:color w:val="000000"/>
          <w:szCs w:val="21"/>
        </w:rPr>
      </w:pPr>
      <w:r>
        <w:rPr>
          <w:rFonts w:hint="eastAsia" w:ascii="宋体" w:hAnsi="宋体"/>
          <w:color w:val="000000"/>
          <w:szCs w:val="21"/>
        </w:rPr>
        <w:t>（4）曾因在招标、评标以及其他与招标投标有关活动中从事违法行为而受过行政处罚或刑事处罚的。</w:t>
      </w:r>
    </w:p>
    <w:p>
      <w:pPr>
        <w:pStyle w:val="4"/>
        <w:spacing w:before="60" w:after="60" w:line="240" w:lineRule="auto"/>
        <w:rPr>
          <w:b w:val="0"/>
          <w:bCs w:val="0"/>
          <w:color w:val="000000"/>
        </w:rPr>
      </w:pPr>
      <w:bookmarkStart w:id="51" w:name="_Toc454468380"/>
      <w:bookmarkStart w:id="52" w:name="_Toc499731943"/>
      <w:r>
        <w:rPr>
          <w:rFonts w:hint="eastAsia"/>
          <w:b w:val="0"/>
          <w:bCs w:val="0"/>
          <w:color w:val="000000"/>
        </w:rPr>
        <w:t>6.2 评标原则</w:t>
      </w:r>
      <w:bookmarkEnd w:id="51"/>
      <w:bookmarkEnd w:id="52"/>
    </w:p>
    <w:p>
      <w:pPr>
        <w:spacing w:line="360" w:lineRule="auto"/>
        <w:ind w:firstLine="420" w:firstLineChars="200"/>
        <w:rPr>
          <w:rFonts w:ascii="宋体" w:hAnsi="宋体" w:cs="宋体"/>
          <w:color w:val="000000"/>
          <w:sz w:val="24"/>
        </w:rPr>
      </w:pPr>
      <w:r>
        <w:rPr>
          <w:rFonts w:hint="eastAsia" w:ascii="宋体" w:hAnsi="宋体"/>
          <w:color w:val="000000"/>
          <w:szCs w:val="21"/>
        </w:rPr>
        <w:t>评标活动遵循公平、公正、科学和择优的原则。</w:t>
      </w:r>
      <w:bookmarkStart w:id="53" w:name="_Toc268600459"/>
      <w:bookmarkStart w:id="54" w:name="_Toc184635077"/>
      <w:bookmarkStart w:id="55" w:name="_Toc454468472"/>
      <w:bookmarkStart w:id="56" w:name="_Toc454464796"/>
      <w:bookmarkStart w:id="57" w:name="_Toc499731945"/>
      <w:bookmarkStart w:id="58" w:name="_Toc454468382"/>
    </w:p>
    <w:p>
      <w:pPr>
        <w:spacing w:line="360" w:lineRule="auto"/>
        <w:rPr>
          <w:rFonts w:ascii="Arial" w:hAnsi="Arial" w:eastAsia="黑体"/>
          <w:color w:val="000000"/>
          <w:sz w:val="28"/>
          <w:szCs w:val="28"/>
        </w:rPr>
      </w:pPr>
      <w:r>
        <w:rPr>
          <w:rFonts w:hint="eastAsia" w:ascii="宋体" w:hAnsi="宋体" w:cs="宋体"/>
          <w:b/>
          <w:color w:val="000000"/>
          <w:sz w:val="24"/>
        </w:rPr>
        <w:t xml:space="preserve"> </w:t>
      </w:r>
      <w:r>
        <w:rPr>
          <w:rFonts w:hint="eastAsia" w:ascii="Arial" w:hAnsi="Arial" w:eastAsia="黑体"/>
          <w:color w:val="000000"/>
          <w:sz w:val="28"/>
          <w:szCs w:val="28"/>
        </w:rPr>
        <w:t>6.3 评标办法</w:t>
      </w:r>
    </w:p>
    <w:p>
      <w:pPr>
        <w:spacing w:line="560" w:lineRule="exact"/>
        <w:ind w:firstLine="420" w:firstLineChars="200"/>
        <w:rPr>
          <w:rFonts w:ascii="宋体" w:hAnsi="宋体"/>
          <w:color w:val="000000"/>
          <w:szCs w:val="21"/>
        </w:rPr>
      </w:pPr>
      <w:r>
        <w:rPr>
          <w:rFonts w:hint="eastAsia" w:ascii="宋体" w:hAnsi="宋体"/>
          <w:color w:val="000000"/>
          <w:szCs w:val="21"/>
        </w:rPr>
        <w:t>1.综合评分法</w:t>
      </w:r>
    </w:p>
    <w:p>
      <w:pPr>
        <w:spacing w:line="560" w:lineRule="exact"/>
        <w:ind w:firstLine="420" w:firstLineChars="200"/>
        <w:rPr>
          <w:rFonts w:ascii="宋体" w:hAnsi="宋体"/>
          <w:color w:val="000000"/>
          <w:szCs w:val="21"/>
        </w:rPr>
      </w:pPr>
      <w:r>
        <w:rPr>
          <w:rFonts w:hint="eastAsia" w:ascii="宋体" w:hAnsi="宋体"/>
          <w:color w:val="000000"/>
          <w:szCs w:val="21"/>
        </w:rPr>
        <w:t>2.在投标、开标期间，投标人不得向招标小组成员询问评标情况，不得进行旨在影响评标结果的活动，否则将废除其投标资格。</w:t>
      </w:r>
    </w:p>
    <w:p>
      <w:pPr>
        <w:spacing w:line="560" w:lineRule="exact"/>
        <w:ind w:firstLine="420" w:firstLineChars="200"/>
        <w:rPr>
          <w:rFonts w:ascii="宋体" w:hAnsi="宋体"/>
          <w:color w:val="000000"/>
          <w:szCs w:val="21"/>
        </w:rPr>
      </w:pPr>
      <w:r>
        <w:rPr>
          <w:rFonts w:hint="eastAsia" w:ascii="宋体" w:hAnsi="宋体"/>
          <w:color w:val="000000"/>
          <w:szCs w:val="21"/>
        </w:rPr>
        <w:t>3.招标人不向落标方解释落标原因，不退还投标文件。</w:t>
      </w:r>
    </w:p>
    <w:p>
      <w:pPr>
        <w:spacing w:line="560" w:lineRule="exact"/>
        <w:ind w:firstLine="420" w:firstLineChars="200"/>
        <w:rPr>
          <w:rFonts w:ascii="宋体" w:hAnsi="宋体"/>
          <w:color w:val="000000"/>
          <w:szCs w:val="21"/>
        </w:rPr>
      </w:pPr>
      <w:r>
        <w:rPr>
          <w:rFonts w:hint="eastAsia" w:ascii="宋体" w:hAnsi="宋体"/>
          <w:color w:val="000000"/>
          <w:szCs w:val="21"/>
        </w:rPr>
        <w:t>4.任何违反招标投标相关法规的行为，一经发现，将追究相关人员的法律责任。</w:t>
      </w:r>
    </w:p>
    <w:p>
      <w:pPr>
        <w:spacing w:line="560" w:lineRule="exact"/>
        <w:ind w:firstLine="420" w:firstLineChars="200"/>
        <w:rPr>
          <w:rFonts w:ascii="宋体" w:hAnsi="宋体"/>
          <w:color w:val="000000"/>
          <w:szCs w:val="21"/>
        </w:rPr>
      </w:pPr>
    </w:p>
    <w:p>
      <w:pPr>
        <w:spacing w:line="560" w:lineRule="exact"/>
        <w:ind w:firstLine="200"/>
        <w:rPr>
          <w:rFonts w:ascii="宋体" w:hAnsi="宋体"/>
          <w:color w:val="000000"/>
          <w:szCs w:val="21"/>
        </w:rPr>
      </w:pPr>
      <w:r>
        <w:rPr>
          <w:rFonts w:hint="eastAsia" w:ascii="宋体" w:hAnsi="宋体"/>
          <w:color w:val="000000"/>
          <w:szCs w:val="21"/>
        </w:rPr>
        <w:t>十一、定标</w:t>
      </w:r>
    </w:p>
    <w:p>
      <w:pPr>
        <w:spacing w:line="560" w:lineRule="exact"/>
        <w:ind w:firstLine="200"/>
        <w:rPr>
          <w:rFonts w:ascii="宋体" w:hAnsi="宋体"/>
          <w:color w:val="000000"/>
          <w:szCs w:val="21"/>
        </w:rPr>
      </w:pPr>
      <w:r>
        <w:rPr>
          <w:rFonts w:hint="eastAsia" w:ascii="宋体" w:hAnsi="宋体"/>
          <w:color w:val="000000"/>
          <w:szCs w:val="21"/>
        </w:rPr>
        <w:t>1.推荐并确定中标人</w:t>
      </w:r>
    </w:p>
    <w:p>
      <w:pPr>
        <w:spacing w:line="560" w:lineRule="exact"/>
        <w:ind w:firstLine="200"/>
        <w:rPr>
          <w:rFonts w:ascii="宋体" w:hAnsi="宋体"/>
          <w:color w:val="000000"/>
          <w:szCs w:val="21"/>
        </w:rPr>
      </w:pPr>
      <w:r>
        <w:rPr>
          <w:rFonts w:hint="eastAsia" w:ascii="宋体" w:hAnsi="宋体"/>
          <w:color w:val="000000"/>
          <w:szCs w:val="21"/>
        </w:rPr>
        <w:t>2.评标委员会根据综合评审确定预中标候选人。</w:t>
      </w:r>
    </w:p>
    <w:p>
      <w:pPr>
        <w:spacing w:line="560" w:lineRule="exact"/>
        <w:ind w:firstLine="200"/>
        <w:rPr>
          <w:rFonts w:ascii="宋体" w:hAnsi="宋体"/>
          <w:color w:val="000000"/>
          <w:szCs w:val="21"/>
        </w:rPr>
      </w:pPr>
      <w:r>
        <w:rPr>
          <w:rFonts w:hint="eastAsia" w:ascii="宋体" w:hAnsi="宋体"/>
          <w:color w:val="000000"/>
          <w:szCs w:val="21"/>
        </w:rPr>
        <w:t>3.中标人因不可抗力或自身原因不能履行合同时，采购人可以按照评审报告推荐的预中标候选人名单排序，确定下一候选人为中标人。</w:t>
      </w:r>
    </w:p>
    <w:p>
      <w:pPr>
        <w:spacing w:line="560" w:lineRule="exact"/>
        <w:ind w:firstLine="200"/>
        <w:rPr>
          <w:rFonts w:ascii="宋体" w:hAnsi="宋体"/>
          <w:color w:val="000000"/>
          <w:szCs w:val="21"/>
        </w:rPr>
      </w:pPr>
      <w:r>
        <w:rPr>
          <w:rFonts w:hint="eastAsia" w:ascii="宋体" w:hAnsi="宋体"/>
          <w:color w:val="000000"/>
          <w:szCs w:val="21"/>
        </w:rPr>
        <w:t>4.中标通知</w:t>
      </w:r>
    </w:p>
    <w:p>
      <w:pPr>
        <w:spacing w:line="560" w:lineRule="exact"/>
        <w:ind w:firstLine="200"/>
        <w:rPr>
          <w:rFonts w:ascii="宋体" w:hAnsi="宋体"/>
          <w:color w:val="000000"/>
          <w:szCs w:val="21"/>
        </w:rPr>
      </w:pPr>
      <w:r>
        <w:rPr>
          <w:rFonts w:hint="eastAsia" w:ascii="宋体" w:hAnsi="宋体"/>
          <w:color w:val="000000"/>
          <w:szCs w:val="21"/>
        </w:rPr>
        <w:t xml:space="preserve">    招标人书面通知中标人，若中标人拒绝承担中标的项目，或提出招标人不能接受的条件，致使合同无法签订，招标人将取消其中标资格，招标人可与第二预中标公司签订合同或另行组织开标。</w:t>
      </w:r>
    </w:p>
    <w:p>
      <w:pPr>
        <w:spacing w:line="560" w:lineRule="exact"/>
        <w:ind w:firstLine="200"/>
        <w:rPr>
          <w:rFonts w:ascii="宋体" w:hAnsi="宋体"/>
          <w:color w:val="000000"/>
          <w:szCs w:val="21"/>
        </w:rPr>
      </w:pPr>
      <w:r>
        <w:rPr>
          <w:rFonts w:hint="eastAsia" w:ascii="宋体" w:hAnsi="宋体"/>
          <w:color w:val="000000"/>
          <w:szCs w:val="21"/>
        </w:rPr>
        <w:t xml:space="preserve">  十二、签订合同</w:t>
      </w:r>
    </w:p>
    <w:p>
      <w:pPr>
        <w:spacing w:line="560" w:lineRule="exact"/>
        <w:ind w:firstLine="200"/>
        <w:rPr>
          <w:rFonts w:ascii="宋体" w:hAnsi="宋体"/>
          <w:color w:val="000000"/>
          <w:szCs w:val="21"/>
        </w:rPr>
      </w:pPr>
      <w:r>
        <w:rPr>
          <w:rFonts w:hint="eastAsia" w:ascii="宋体" w:hAnsi="宋体"/>
          <w:color w:val="000000"/>
          <w:szCs w:val="21"/>
        </w:rPr>
        <w:t>1.中标人应按招标人规定时间、地点与招标人签订合同。</w:t>
      </w:r>
    </w:p>
    <w:p>
      <w:pPr>
        <w:spacing w:line="560" w:lineRule="exact"/>
        <w:ind w:firstLine="200"/>
        <w:rPr>
          <w:rFonts w:ascii="宋体" w:hAnsi="宋体"/>
          <w:color w:val="000000"/>
          <w:szCs w:val="21"/>
        </w:rPr>
      </w:pPr>
      <w:r>
        <w:rPr>
          <w:rFonts w:hint="eastAsia" w:ascii="宋体" w:hAnsi="宋体"/>
          <w:color w:val="000000"/>
          <w:szCs w:val="21"/>
        </w:rPr>
        <w:t>2.招标文件、中标人的投标文件等均作为合同附件。</w:t>
      </w:r>
    </w:p>
    <w:p>
      <w:pPr>
        <w:spacing w:line="560" w:lineRule="exact"/>
        <w:ind w:firstLine="200"/>
        <w:rPr>
          <w:rFonts w:ascii="宋体" w:hAnsi="宋体"/>
          <w:color w:val="000000"/>
          <w:szCs w:val="21"/>
        </w:rPr>
      </w:pPr>
      <w:r>
        <w:rPr>
          <w:rFonts w:hint="eastAsia" w:ascii="宋体" w:hAnsi="宋体"/>
          <w:color w:val="000000"/>
          <w:szCs w:val="21"/>
        </w:rPr>
        <w:t xml:space="preserve">3.拒签合同的责任中标人接到招标人的中标通知电话后，在规定时间内借故否认招标文件的实质性内容和已经承诺的条件而拒签合同者，以投标违约处理，招标人可取消其中标资格，另选中标单位。  </w:t>
      </w:r>
    </w:p>
    <w:p>
      <w:pPr>
        <w:spacing w:line="560" w:lineRule="exact"/>
        <w:ind w:firstLine="200"/>
        <w:rPr>
          <w:rFonts w:ascii="宋体" w:hAnsi="宋体"/>
          <w:color w:val="000000"/>
          <w:szCs w:val="21"/>
        </w:rPr>
      </w:pPr>
      <w:r>
        <w:rPr>
          <w:rFonts w:hint="eastAsia" w:ascii="宋体" w:hAnsi="宋体"/>
          <w:color w:val="000000"/>
          <w:szCs w:val="21"/>
        </w:rPr>
        <w:t xml:space="preserve">  十三、废标</w:t>
      </w:r>
    </w:p>
    <w:p>
      <w:pPr>
        <w:spacing w:line="560" w:lineRule="exact"/>
        <w:ind w:firstLine="200"/>
        <w:rPr>
          <w:rFonts w:ascii="宋体" w:hAnsi="宋体"/>
          <w:color w:val="000000"/>
          <w:szCs w:val="21"/>
        </w:rPr>
      </w:pPr>
      <w:r>
        <w:rPr>
          <w:rFonts w:hint="eastAsia" w:ascii="宋体" w:hAnsi="宋体"/>
          <w:color w:val="000000"/>
          <w:szCs w:val="21"/>
        </w:rPr>
        <w:t>1.废标情形</w:t>
      </w:r>
    </w:p>
    <w:p>
      <w:pPr>
        <w:spacing w:line="560" w:lineRule="exact"/>
        <w:ind w:firstLine="200"/>
        <w:rPr>
          <w:rFonts w:ascii="宋体" w:hAnsi="宋体"/>
          <w:color w:val="000000"/>
          <w:szCs w:val="21"/>
        </w:rPr>
      </w:pPr>
      <w:r>
        <w:rPr>
          <w:rFonts w:hint="eastAsia" w:ascii="宋体" w:hAnsi="宋体"/>
          <w:color w:val="000000"/>
          <w:szCs w:val="21"/>
        </w:rPr>
        <w:t>在招标采购中，出现下列情形之一的，应予废标：</w:t>
      </w:r>
    </w:p>
    <w:p>
      <w:pPr>
        <w:spacing w:line="560" w:lineRule="exact"/>
        <w:ind w:firstLine="200"/>
        <w:rPr>
          <w:rFonts w:ascii="宋体" w:hAnsi="宋体"/>
          <w:color w:val="000000"/>
          <w:szCs w:val="21"/>
        </w:rPr>
      </w:pPr>
      <w:r>
        <w:rPr>
          <w:rFonts w:hint="eastAsia" w:ascii="宋体" w:hAnsi="宋体"/>
          <w:color w:val="000000"/>
          <w:szCs w:val="21"/>
        </w:rPr>
        <w:t>（1）符合投标条件的供应商或者对招标文件作出实质性响应的供应商不足三家的。</w:t>
      </w:r>
    </w:p>
    <w:p>
      <w:pPr>
        <w:spacing w:line="560" w:lineRule="exact"/>
        <w:ind w:firstLine="200"/>
        <w:rPr>
          <w:rFonts w:ascii="宋体" w:hAnsi="宋体"/>
          <w:color w:val="000000"/>
          <w:szCs w:val="21"/>
        </w:rPr>
      </w:pPr>
      <w:r>
        <w:rPr>
          <w:rFonts w:hint="eastAsia" w:ascii="宋体" w:hAnsi="宋体"/>
          <w:color w:val="000000"/>
          <w:szCs w:val="21"/>
        </w:rPr>
        <w:t>（2）出现影响采购活动正常推进的违法、违规行为的。</w:t>
      </w:r>
    </w:p>
    <w:p>
      <w:pPr>
        <w:spacing w:line="560" w:lineRule="exact"/>
        <w:ind w:firstLine="200"/>
        <w:rPr>
          <w:rFonts w:ascii="宋体" w:hAnsi="宋体"/>
          <w:color w:val="000000"/>
          <w:szCs w:val="21"/>
        </w:rPr>
      </w:pPr>
      <w:r>
        <w:rPr>
          <w:rFonts w:hint="eastAsia" w:ascii="宋体" w:hAnsi="宋体"/>
          <w:color w:val="000000"/>
          <w:szCs w:val="21"/>
        </w:rPr>
        <w:t>（3）投标人的报价均超出采购预算额度，采购人不能支付的。</w:t>
      </w:r>
    </w:p>
    <w:p>
      <w:pPr>
        <w:spacing w:line="560" w:lineRule="exact"/>
        <w:ind w:firstLine="200"/>
        <w:rPr>
          <w:rFonts w:ascii="宋体" w:hAnsi="宋体"/>
          <w:color w:val="000000"/>
          <w:szCs w:val="21"/>
        </w:rPr>
      </w:pPr>
      <w:r>
        <w:rPr>
          <w:rFonts w:hint="eastAsia" w:ascii="宋体" w:hAnsi="宋体"/>
          <w:color w:val="000000"/>
          <w:szCs w:val="21"/>
        </w:rPr>
        <w:t>（4）因重大变故，采购任务取消的。</w:t>
      </w:r>
    </w:p>
    <w:p>
      <w:pPr>
        <w:spacing w:line="560" w:lineRule="exact"/>
        <w:ind w:firstLine="200"/>
        <w:rPr>
          <w:rFonts w:ascii="宋体" w:hAnsi="宋体"/>
          <w:color w:val="000000"/>
          <w:szCs w:val="21"/>
        </w:rPr>
      </w:pPr>
      <w:r>
        <w:rPr>
          <w:rFonts w:hint="eastAsia" w:ascii="宋体" w:hAnsi="宋体"/>
          <w:color w:val="000000"/>
          <w:szCs w:val="21"/>
        </w:rPr>
        <w:t>2.废标后，由采购方在医院网站发布废标公告。</w:t>
      </w:r>
    </w:p>
    <w:p>
      <w:pPr>
        <w:spacing w:line="490" w:lineRule="exact"/>
        <w:rPr>
          <w:rFonts w:ascii="宋体" w:hAnsi="宋体"/>
          <w:color w:val="000000"/>
          <w:szCs w:val="21"/>
        </w:rPr>
      </w:pPr>
    </w:p>
    <w:p>
      <w:pPr>
        <w:spacing w:line="490" w:lineRule="exact"/>
        <w:rPr>
          <w:rFonts w:ascii="Arial" w:hAnsi="Arial" w:eastAsia="黑体"/>
          <w:color w:val="000000"/>
          <w:kern w:val="0"/>
          <w:sz w:val="28"/>
          <w:szCs w:val="28"/>
        </w:rPr>
      </w:pPr>
    </w:p>
    <w:p>
      <w:pPr>
        <w:spacing w:line="490" w:lineRule="exact"/>
        <w:rPr>
          <w:rFonts w:ascii="Arial" w:hAnsi="Arial" w:eastAsia="黑体"/>
          <w:color w:val="000000"/>
          <w:kern w:val="0"/>
          <w:sz w:val="28"/>
          <w:szCs w:val="28"/>
        </w:rPr>
      </w:pPr>
    </w:p>
    <w:p>
      <w:pPr>
        <w:spacing w:line="490" w:lineRule="exact"/>
        <w:rPr>
          <w:rFonts w:ascii="Arial" w:hAnsi="Arial" w:eastAsia="黑体"/>
          <w:color w:val="000000"/>
          <w:kern w:val="0"/>
          <w:sz w:val="28"/>
          <w:szCs w:val="28"/>
        </w:rPr>
      </w:pPr>
    </w:p>
    <w:p>
      <w:pPr>
        <w:spacing w:line="490" w:lineRule="exact"/>
        <w:rPr>
          <w:rFonts w:ascii="Arial" w:hAnsi="Arial" w:eastAsia="黑体"/>
          <w:color w:val="000000"/>
          <w:kern w:val="0"/>
          <w:sz w:val="28"/>
          <w:szCs w:val="28"/>
        </w:rPr>
      </w:pPr>
    </w:p>
    <w:p>
      <w:pPr>
        <w:spacing w:line="490" w:lineRule="exact"/>
        <w:rPr>
          <w:rFonts w:ascii="Arial" w:hAnsi="Arial" w:eastAsia="黑体"/>
          <w:color w:val="000000"/>
          <w:kern w:val="0"/>
          <w:sz w:val="28"/>
          <w:szCs w:val="28"/>
        </w:rPr>
      </w:pPr>
    </w:p>
    <w:p>
      <w:pPr>
        <w:spacing w:line="490" w:lineRule="exact"/>
        <w:rPr>
          <w:rFonts w:ascii="Arial" w:hAnsi="Arial" w:eastAsia="黑体"/>
          <w:color w:val="000000"/>
          <w:kern w:val="0"/>
          <w:sz w:val="28"/>
          <w:szCs w:val="28"/>
        </w:rPr>
      </w:pPr>
    </w:p>
    <w:p>
      <w:pPr>
        <w:spacing w:line="490" w:lineRule="exact"/>
        <w:rPr>
          <w:rFonts w:ascii="Arial" w:hAnsi="Arial" w:eastAsia="黑体"/>
          <w:color w:val="000000"/>
          <w:kern w:val="0"/>
          <w:sz w:val="28"/>
          <w:szCs w:val="28"/>
        </w:rPr>
      </w:pPr>
    </w:p>
    <w:p>
      <w:pPr>
        <w:spacing w:line="490" w:lineRule="exact"/>
        <w:rPr>
          <w:rFonts w:ascii="Arial" w:hAnsi="Arial" w:eastAsia="黑体"/>
          <w:color w:val="000000"/>
          <w:kern w:val="0"/>
          <w:sz w:val="28"/>
          <w:szCs w:val="28"/>
        </w:rPr>
      </w:pPr>
    </w:p>
    <w:p>
      <w:pPr>
        <w:spacing w:line="490" w:lineRule="exact"/>
        <w:rPr>
          <w:rFonts w:ascii="Arial" w:hAnsi="Arial" w:eastAsia="黑体"/>
          <w:color w:val="000000"/>
          <w:kern w:val="0"/>
          <w:sz w:val="28"/>
          <w:szCs w:val="28"/>
        </w:rPr>
      </w:pPr>
    </w:p>
    <w:p>
      <w:pPr>
        <w:spacing w:line="490" w:lineRule="exact"/>
        <w:rPr>
          <w:rFonts w:ascii="Arial" w:hAnsi="Arial" w:eastAsia="黑体"/>
          <w:color w:val="000000"/>
          <w:kern w:val="0"/>
          <w:sz w:val="28"/>
          <w:szCs w:val="28"/>
        </w:rPr>
      </w:pPr>
    </w:p>
    <w:p>
      <w:pPr>
        <w:spacing w:line="490" w:lineRule="exact"/>
        <w:rPr>
          <w:rFonts w:ascii="Arial" w:hAnsi="Arial" w:eastAsia="黑体"/>
          <w:color w:val="000000"/>
          <w:kern w:val="0"/>
          <w:sz w:val="28"/>
          <w:szCs w:val="28"/>
        </w:rPr>
      </w:pPr>
    </w:p>
    <w:p>
      <w:pPr>
        <w:spacing w:line="490" w:lineRule="exact"/>
        <w:rPr>
          <w:rFonts w:ascii="Arial" w:hAnsi="Arial" w:eastAsia="黑体"/>
          <w:color w:val="000000"/>
          <w:kern w:val="0"/>
          <w:sz w:val="28"/>
          <w:szCs w:val="28"/>
        </w:rPr>
      </w:pPr>
    </w:p>
    <w:p>
      <w:pPr>
        <w:spacing w:line="490" w:lineRule="exact"/>
        <w:rPr>
          <w:rFonts w:ascii="Arial" w:hAnsi="Arial" w:eastAsia="黑体"/>
          <w:color w:val="000000"/>
          <w:kern w:val="0"/>
          <w:sz w:val="28"/>
          <w:szCs w:val="28"/>
        </w:rPr>
      </w:pPr>
    </w:p>
    <w:p>
      <w:pPr>
        <w:spacing w:line="490" w:lineRule="exact"/>
        <w:rPr>
          <w:rFonts w:ascii="Arial" w:hAnsi="Arial" w:eastAsia="黑体"/>
          <w:color w:val="000000"/>
          <w:kern w:val="0"/>
          <w:sz w:val="28"/>
          <w:szCs w:val="28"/>
        </w:rPr>
      </w:pPr>
    </w:p>
    <w:p>
      <w:pPr>
        <w:spacing w:line="490" w:lineRule="exact"/>
        <w:rPr>
          <w:rFonts w:ascii="Arial" w:hAnsi="Arial" w:eastAsia="黑体"/>
          <w:color w:val="000000"/>
          <w:kern w:val="0"/>
          <w:sz w:val="28"/>
          <w:szCs w:val="28"/>
        </w:rPr>
      </w:pPr>
    </w:p>
    <w:p>
      <w:pPr>
        <w:spacing w:line="490" w:lineRule="exact"/>
        <w:rPr>
          <w:rFonts w:ascii="Arial" w:hAnsi="Arial" w:eastAsia="黑体"/>
          <w:color w:val="000000"/>
          <w:kern w:val="0"/>
          <w:sz w:val="28"/>
          <w:szCs w:val="28"/>
        </w:rPr>
      </w:pPr>
    </w:p>
    <w:p>
      <w:pPr>
        <w:spacing w:line="490" w:lineRule="exact"/>
        <w:rPr>
          <w:rFonts w:ascii="Arial" w:hAnsi="Arial" w:eastAsia="黑体"/>
          <w:color w:val="000000"/>
          <w:kern w:val="0"/>
          <w:sz w:val="28"/>
          <w:szCs w:val="28"/>
        </w:rPr>
      </w:pPr>
    </w:p>
    <w:p>
      <w:pPr>
        <w:spacing w:line="490" w:lineRule="exact"/>
        <w:rPr>
          <w:rFonts w:ascii="Arial" w:hAnsi="Arial" w:eastAsia="黑体"/>
          <w:color w:val="000000"/>
          <w:kern w:val="0"/>
          <w:sz w:val="28"/>
          <w:szCs w:val="28"/>
        </w:rPr>
      </w:pPr>
    </w:p>
    <w:p>
      <w:pPr>
        <w:spacing w:line="490" w:lineRule="exact"/>
        <w:rPr>
          <w:rFonts w:ascii="Arial" w:hAnsi="Arial" w:eastAsia="黑体"/>
          <w:color w:val="000000"/>
          <w:kern w:val="0"/>
          <w:sz w:val="28"/>
          <w:szCs w:val="28"/>
        </w:rPr>
      </w:pPr>
    </w:p>
    <w:p>
      <w:pPr>
        <w:spacing w:line="490" w:lineRule="exact"/>
        <w:rPr>
          <w:rFonts w:ascii="Arial" w:hAnsi="Arial" w:eastAsia="黑体"/>
          <w:color w:val="000000"/>
          <w:kern w:val="0"/>
          <w:sz w:val="28"/>
          <w:szCs w:val="28"/>
        </w:rPr>
      </w:pPr>
    </w:p>
    <w:p>
      <w:pPr>
        <w:spacing w:line="490" w:lineRule="exact"/>
        <w:rPr>
          <w:rFonts w:ascii="Arial" w:hAnsi="Arial" w:eastAsia="黑体"/>
          <w:color w:val="000000"/>
          <w:kern w:val="0"/>
          <w:sz w:val="28"/>
          <w:szCs w:val="28"/>
        </w:rPr>
      </w:pPr>
    </w:p>
    <w:p>
      <w:pPr>
        <w:spacing w:line="490" w:lineRule="exact"/>
        <w:rPr>
          <w:rFonts w:ascii="Arial" w:hAnsi="Arial" w:eastAsia="黑体"/>
          <w:color w:val="000000"/>
          <w:kern w:val="0"/>
          <w:sz w:val="28"/>
          <w:szCs w:val="28"/>
        </w:rPr>
      </w:pPr>
    </w:p>
    <w:p>
      <w:pPr>
        <w:spacing w:line="490" w:lineRule="exact"/>
        <w:rPr>
          <w:rFonts w:ascii="Arial" w:hAnsi="Arial" w:eastAsia="黑体"/>
          <w:color w:val="000000"/>
          <w:kern w:val="0"/>
          <w:sz w:val="28"/>
          <w:szCs w:val="28"/>
        </w:rPr>
      </w:pPr>
    </w:p>
    <w:p>
      <w:pPr>
        <w:rPr>
          <w:rFonts w:ascii="Arial" w:hAnsi="Arial" w:eastAsia="黑体"/>
          <w:color w:val="000000"/>
          <w:kern w:val="0"/>
          <w:sz w:val="28"/>
          <w:szCs w:val="28"/>
        </w:rPr>
      </w:pPr>
      <w:r>
        <w:rPr>
          <w:rFonts w:ascii="Arial" w:hAnsi="Arial" w:eastAsia="黑体"/>
          <w:color w:val="000000"/>
          <w:kern w:val="0"/>
          <w:sz w:val="28"/>
          <w:szCs w:val="28"/>
        </w:rPr>
        <w:br w:type="page"/>
      </w:r>
    </w:p>
    <w:p>
      <w:pPr>
        <w:spacing w:line="490" w:lineRule="exact"/>
        <w:rPr>
          <w:rFonts w:ascii="Arial" w:hAnsi="Arial" w:eastAsia="黑体"/>
          <w:color w:val="000000"/>
          <w:kern w:val="0"/>
          <w:sz w:val="28"/>
          <w:szCs w:val="28"/>
        </w:rPr>
      </w:pPr>
      <w:r>
        <w:rPr>
          <w:rFonts w:ascii="Arial" w:hAnsi="Arial" w:eastAsia="黑体"/>
          <w:color w:val="000000"/>
          <w:kern w:val="0"/>
          <w:sz w:val="28"/>
          <w:szCs w:val="28"/>
        </w:rPr>
        <w:t>综合评分表</w:t>
      </w:r>
    </w:p>
    <w:tbl>
      <w:tblPr>
        <w:tblStyle w:val="11"/>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281"/>
        <w:gridCol w:w="465"/>
        <w:gridCol w:w="4602"/>
        <w:gridCol w:w="3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b/>
                <w:bCs/>
                <w:kern w:val="0"/>
                <w:sz w:val="24"/>
              </w:rPr>
              <w:t>序号</w:t>
            </w: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sz w:val="24"/>
              </w:rPr>
            </w:pPr>
            <w:r>
              <w:rPr>
                <w:rFonts w:hint="eastAsia" w:ascii="宋体" w:hAnsi="宋体" w:cs="宋体"/>
                <w:b/>
                <w:bCs/>
                <w:color w:val="000000"/>
                <w:sz w:val="24"/>
              </w:rPr>
              <w:t>评分因素</w:t>
            </w:r>
          </w:p>
          <w:p>
            <w:pPr>
              <w:widowControl/>
              <w:jc w:val="center"/>
              <w:rPr>
                <w:rFonts w:ascii="宋体" w:hAnsi="宋体"/>
                <w:b/>
                <w:bCs/>
                <w:kern w:val="0"/>
                <w:sz w:val="24"/>
              </w:rPr>
            </w:pPr>
            <w:r>
              <w:rPr>
                <w:rFonts w:hint="eastAsia" w:ascii="宋体" w:hAnsi="宋体" w:cs="宋体"/>
                <w:b/>
                <w:bCs/>
                <w:color w:val="000000"/>
                <w:sz w:val="24"/>
              </w:rPr>
              <w:t>及权重</w:t>
            </w:r>
          </w:p>
        </w:tc>
        <w:tc>
          <w:tcPr>
            <w:tcW w:w="4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cs="宋体"/>
                <w:b/>
                <w:bCs/>
                <w:color w:val="000000"/>
                <w:sz w:val="24"/>
              </w:rPr>
              <w:t>分值</w:t>
            </w:r>
          </w:p>
        </w:tc>
        <w:tc>
          <w:tcPr>
            <w:tcW w:w="4602"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b/>
                <w:bCs/>
                <w:color w:val="000000"/>
                <w:sz w:val="24"/>
              </w:rPr>
            </w:pPr>
          </w:p>
          <w:p>
            <w:pPr>
              <w:widowControl/>
              <w:jc w:val="center"/>
              <w:rPr>
                <w:rFonts w:ascii="宋体" w:hAnsi="宋体"/>
                <w:b/>
                <w:bCs/>
                <w:kern w:val="0"/>
                <w:sz w:val="24"/>
              </w:rPr>
            </w:pPr>
            <w:r>
              <w:rPr>
                <w:rFonts w:hint="eastAsia" w:ascii="宋体" w:hAnsi="宋体" w:cs="宋体"/>
                <w:b/>
                <w:bCs/>
                <w:color w:val="000000"/>
                <w:sz w:val="24"/>
              </w:rPr>
              <w:t>评分标准</w:t>
            </w:r>
          </w:p>
        </w:tc>
        <w:tc>
          <w:tcPr>
            <w:tcW w:w="30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4"/>
              </w:rPr>
            </w:pPr>
            <w:r>
              <w:rPr>
                <w:rFonts w:hint="eastAsia" w:ascii="宋体" w:hAnsi="宋体" w:cs="宋体"/>
                <w:b/>
                <w:bCs/>
                <w:color w:val="000000"/>
                <w:sz w:val="24"/>
              </w:rPr>
              <w:t>说</w:t>
            </w:r>
            <w:r>
              <w:rPr>
                <w:rFonts w:ascii="宋体" w:hAnsi="宋体"/>
                <w:b/>
                <w:bCs/>
                <w:color w:val="000000"/>
                <w:sz w:val="24"/>
              </w:rPr>
              <w:t> </w:t>
            </w:r>
            <w:r>
              <w:rPr>
                <w:rFonts w:hint="eastAsia" w:ascii="宋体" w:hAnsi="宋体" w:cs="宋体"/>
                <w:b/>
                <w:bCs/>
                <w:color w:val="000000"/>
                <w:sz w:val="24"/>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p>
          <w:p>
            <w:pPr>
              <w:widowControl/>
              <w:jc w:val="center"/>
              <w:rPr>
                <w:rFonts w:ascii="仿宋" w:hAnsi="仿宋" w:eastAsia="仿宋" w:cs="仿宋"/>
                <w:sz w:val="24"/>
              </w:rPr>
            </w:pPr>
            <w:r>
              <w:rPr>
                <w:rFonts w:hint="eastAsia" w:ascii="仿宋" w:hAnsi="仿宋" w:eastAsia="仿宋" w:cs="仿宋"/>
                <w:sz w:val="24"/>
              </w:rPr>
              <w:t>1</w:t>
            </w:r>
          </w:p>
        </w:tc>
        <w:tc>
          <w:tcPr>
            <w:tcW w:w="12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报价20%</w:t>
            </w:r>
          </w:p>
        </w:tc>
        <w:tc>
          <w:tcPr>
            <w:tcW w:w="4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20</w:t>
            </w:r>
          </w:p>
        </w:tc>
        <w:tc>
          <w:tcPr>
            <w:tcW w:w="460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 w:hAnsi="仿宋" w:eastAsia="仿宋" w:cs="仿宋"/>
                <w:sz w:val="24"/>
              </w:rPr>
            </w:pPr>
            <w:r>
              <w:rPr>
                <w:rFonts w:hint="eastAsia" w:ascii="仿宋" w:hAnsi="仿宋" w:eastAsia="仿宋" w:cs="仿宋"/>
                <w:sz w:val="24"/>
              </w:rPr>
              <w:t>以本次符合满足招标文件要求且价格最低的报价为评标基准价，报价得分=（基准价/报价）×20%×100。</w:t>
            </w:r>
          </w:p>
        </w:tc>
        <w:tc>
          <w:tcPr>
            <w:tcW w:w="303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417"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2</w:t>
            </w:r>
          </w:p>
          <w:p>
            <w:pPr>
              <w:widowControl/>
              <w:jc w:val="center"/>
              <w:rPr>
                <w:rFonts w:ascii="仿宋" w:hAnsi="仿宋" w:eastAsia="仿宋" w:cs="仿宋"/>
                <w:sz w:val="24"/>
              </w:rPr>
            </w:pPr>
          </w:p>
        </w:tc>
        <w:tc>
          <w:tcPr>
            <w:tcW w:w="1281"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技术要求30%</w:t>
            </w:r>
          </w:p>
          <w:p>
            <w:pPr>
              <w:spacing w:line="360" w:lineRule="auto"/>
              <w:jc w:val="center"/>
              <w:rPr>
                <w:rFonts w:ascii="仿宋" w:hAnsi="仿宋" w:eastAsia="仿宋" w:cs="仿宋"/>
                <w:sz w:val="24"/>
              </w:rPr>
            </w:pPr>
          </w:p>
        </w:tc>
        <w:tc>
          <w:tcPr>
            <w:tcW w:w="4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p>
          <w:p>
            <w:pPr>
              <w:widowControl/>
              <w:jc w:val="center"/>
              <w:rPr>
                <w:rFonts w:ascii="仿宋" w:hAnsi="仿宋" w:eastAsia="仿宋" w:cs="仿宋"/>
                <w:sz w:val="24"/>
              </w:rPr>
            </w:pPr>
            <w:r>
              <w:rPr>
                <w:rFonts w:hint="eastAsia" w:ascii="仿宋" w:hAnsi="仿宋" w:eastAsia="仿宋" w:cs="仿宋"/>
                <w:sz w:val="24"/>
              </w:rPr>
              <w:t>20</w:t>
            </w:r>
          </w:p>
          <w:p>
            <w:pPr>
              <w:widowControl/>
              <w:jc w:val="center"/>
              <w:rPr>
                <w:rFonts w:ascii="仿宋" w:hAnsi="仿宋" w:eastAsia="仿宋" w:cs="仿宋"/>
                <w:sz w:val="24"/>
              </w:rPr>
            </w:pPr>
          </w:p>
        </w:tc>
        <w:tc>
          <w:tcPr>
            <w:tcW w:w="4602" w:type="dxa"/>
            <w:tcBorders>
              <w:top w:val="single" w:color="auto" w:sz="4" w:space="0"/>
              <w:left w:val="single" w:color="auto" w:sz="4" w:space="0"/>
              <w:right w:val="single" w:color="auto" w:sz="4" w:space="0"/>
            </w:tcBorders>
          </w:tcPr>
          <w:p>
            <w:pPr>
              <w:spacing w:line="400" w:lineRule="exact"/>
              <w:rPr>
                <w:rFonts w:ascii="仿宋" w:hAnsi="仿宋" w:eastAsia="仿宋" w:cs="仿宋"/>
                <w:sz w:val="24"/>
              </w:rPr>
            </w:pPr>
            <w:r>
              <w:rPr>
                <w:rFonts w:hint="eastAsia" w:ascii="仿宋" w:hAnsi="仿宋" w:eastAsia="仿宋" w:cs="仿宋"/>
                <w:sz w:val="24"/>
              </w:rPr>
              <w:t>1、技术参数完全符合磋商文件要求没有负偏离得20分；每出现一项负偏离扣2分，直到扣完为止。</w:t>
            </w:r>
          </w:p>
        </w:tc>
        <w:tc>
          <w:tcPr>
            <w:tcW w:w="3035" w:type="dxa"/>
            <w:vMerge w:val="restart"/>
            <w:tcBorders>
              <w:top w:val="single" w:color="auto" w:sz="4" w:space="0"/>
              <w:left w:val="single" w:color="auto" w:sz="4" w:space="0"/>
              <w:right w:val="single" w:color="auto" w:sz="4" w:space="0"/>
            </w:tcBorders>
            <w:vAlign w:val="center"/>
          </w:tcPr>
          <w:p>
            <w:pPr>
              <w:widowControl/>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417"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p>
        </w:tc>
        <w:tc>
          <w:tcPr>
            <w:tcW w:w="1281" w:type="dxa"/>
            <w:vMerge w:val="continue"/>
            <w:tcBorders>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4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10</w:t>
            </w:r>
          </w:p>
        </w:tc>
        <w:tc>
          <w:tcPr>
            <w:tcW w:w="4602" w:type="dxa"/>
            <w:tcBorders>
              <w:top w:val="single" w:color="auto" w:sz="4" w:space="0"/>
              <w:left w:val="single" w:color="auto" w:sz="4" w:space="0"/>
              <w:right w:val="single" w:color="auto" w:sz="4" w:space="0"/>
            </w:tcBorders>
            <w:vAlign w:val="center"/>
          </w:tcPr>
          <w:p>
            <w:pPr>
              <w:spacing w:line="360" w:lineRule="auto"/>
              <w:rPr>
                <w:rFonts w:ascii="仿宋" w:hAnsi="仿宋" w:eastAsia="仿宋" w:cs="仿宋"/>
                <w:sz w:val="24"/>
              </w:rPr>
            </w:pPr>
            <w:r>
              <w:rPr>
                <w:rFonts w:hint="eastAsia" w:ascii="仿宋" w:hAnsi="仿宋" w:eastAsia="仿宋" w:cs="仿宋"/>
                <w:sz w:val="24"/>
              </w:rPr>
              <w:t>根据投标人提供的技术服务方案进行评审，技术服务性方案应包含以下内容：</w:t>
            </w:r>
          </w:p>
          <w:p>
            <w:pPr>
              <w:spacing w:line="360" w:lineRule="auto"/>
              <w:rPr>
                <w:rFonts w:ascii="仿宋" w:hAnsi="仿宋" w:eastAsia="仿宋" w:cs="仿宋"/>
                <w:sz w:val="24"/>
              </w:rPr>
            </w:pPr>
            <w:r>
              <w:rPr>
                <w:rFonts w:hint="eastAsia" w:ascii="仿宋" w:hAnsi="仿宋" w:eastAsia="仿宋" w:cs="仿宋"/>
                <w:sz w:val="24"/>
              </w:rPr>
              <w:t>1、项目方案：项目理解中应具有项目背景分析、采购需求分析、项目地区域情况分析、重点难点分析及应对措施等内容；</w:t>
            </w:r>
          </w:p>
          <w:p>
            <w:pPr>
              <w:spacing w:line="360" w:lineRule="auto"/>
              <w:rPr>
                <w:rFonts w:ascii="仿宋" w:hAnsi="仿宋" w:eastAsia="仿宋" w:cs="仿宋"/>
                <w:sz w:val="24"/>
              </w:rPr>
            </w:pPr>
            <w:r>
              <w:rPr>
                <w:rFonts w:hint="eastAsia" w:ascii="仿宋" w:hAnsi="仿宋" w:eastAsia="仿宋" w:cs="仿宋"/>
                <w:sz w:val="24"/>
              </w:rPr>
              <w:t>2、技术方案：技术方案中应具有系统安全、系统对接、系统实施等内容；</w:t>
            </w:r>
          </w:p>
          <w:p>
            <w:pPr>
              <w:spacing w:line="360" w:lineRule="auto"/>
              <w:rPr>
                <w:rFonts w:ascii="仿宋" w:hAnsi="仿宋" w:eastAsia="仿宋" w:cs="仿宋"/>
                <w:sz w:val="24"/>
              </w:rPr>
            </w:pPr>
            <w:r>
              <w:rPr>
                <w:rFonts w:hint="eastAsia" w:ascii="仿宋" w:hAnsi="仿宋" w:eastAsia="仿宋" w:cs="仿宋"/>
                <w:sz w:val="24"/>
              </w:rPr>
              <w:t>3、实施方案：实施方案中应具有针对本项目的人员配置及岗位设置、用户培训计划、售后服务措施、质量保障措施等内容。</w:t>
            </w:r>
          </w:p>
          <w:p>
            <w:pPr>
              <w:spacing w:line="360" w:lineRule="auto"/>
              <w:rPr>
                <w:rFonts w:ascii="仿宋" w:hAnsi="仿宋" w:eastAsia="仿宋" w:cs="仿宋"/>
                <w:sz w:val="24"/>
              </w:rPr>
            </w:pPr>
            <w:r>
              <w:rPr>
                <w:rFonts w:hint="eastAsia" w:ascii="仿宋" w:hAnsi="仿宋" w:eastAsia="仿宋" w:cs="仿宋"/>
                <w:sz w:val="24"/>
              </w:rPr>
              <w:t>评审专家评审依据：</w:t>
            </w:r>
          </w:p>
          <w:p>
            <w:pPr>
              <w:pStyle w:val="22"/>
              <w:numPr>
                <w:ilvl w:val="0"/>
                <w:numId w:val="2"/>
              </w:numPr>
              <w:spacing w:line="360" w:lineRule="auto"/>
              <w:ind w:firstLineChars="0"/>
              <w:rPr>
                <w:rFonts w:ascii="仿宋" w:hAnsi="仿宋" w:eastAsia="仿宋" w:cs="仿宋"/>
                <w:sz w:val="24"/>
              </w:rPr>
            </w:pPr>
            <w:r>
              <w:rPr>
                <w:rFonts w:hint="eastAsia" w:ascii="仿宋" w:hAnsi="仿宋" w:eastAsia="仿宋" w:cs="仿宋"/>
                <w:sz w:val="24"/>
              </w:rPr>
              <w:t>投标人提供以上完整</w:t>
            </w:r>
            <w:r>
              <w:rPr>
                <w:rFonts w:ascii="仿宋" w:hAnsi="仿宋" w:eastAsia="仿宋" w:cs="仿宋"/>
                <w:sz w:val="24"/>
              </w:rPr>
              <w:t>3</w:t>
            </w:r>
            <w:r>
              <w:rPr>
                <w:rFonts w:hint="eastAsia" w:ascii="仿宋" w:hAnsi="仿宋" w:eastAsia="仿宋" w:cs="仿宋"/>
                <w:sz w:val="24"/>
              </w:rPr>
              <w:t>项方案的得</w:t>
            </w:r>
            <w:r>
              <w:rPr>
                <w:rFonts w:ascii="仿宋" w:hAnsi="仿宋" w:eastAsia="仿宋" w:cs="仿宋"/>
                <w:sz w:val="24"/>
              </w:rPr>
              <w:t>7</w:t>
            </w:r>
            <w:r>
              <w:rPr>
                <w:rFonts w:hint="eastAsia" w:ascii="仿宋" w:hAnsi="仿宋" w:eastAsia="仿宋" w:cs="仿宋"/>
                <w:sz w:val="24"/>
              </w:rPr>
              <w:t>分，缺项或未提供的不得分；</w:t>
            </w:r>
          </w:p>
          <w:p>
            <w:pPr>
              <w:pStyle w:val="22"/>
              <w:numPr>
                <w:ilvl w:val="0"/>
                <w:numId w:val="2"/>
              </w:numPr>
              <w:spacing w:line="360" w:lineRule="auto"/>
              <w:ind w:firstLineChars="0"/>
              <w:rPr>
                <w:rFonts w:ascii="仿宋" w:hAnsi="仿宋" w:eastAsia="仿宋" w:cs="仿宋"/>
                <w:sz w:val="24"/>
              </w:rPr>
            </w:pPr>
            <w:r>
              <w:rPr>
                <w:rFonts w:hint="eastAsia" w:ascii="仿宋" w:hAnsi="仿宋" w:eastAsia="仿宋" w:cs="仿宋"/>
                <w:sz w:val="24"/>
              </w:rPr>
              <w:t>根据投标人提供的以上</w:t>
            </w:r>
            <w:r>
              <w:rPr>
                <w:rFonts w:ascii="仿宋" w:hAnsi="仿宋" w:eastAsia="仿宋" w:cs="仿宋"/>
                <w:sz w:val="24"/>
              </w:rPr>
              <w:t>3</w:t>
            </w:r>
            <w:r>
              <w:rPr>
                <w:rFonts w:hint="eastAsia" w:ascii="仿宋" w:hAnsi="仿宋" w:eastAsia="仿宋" w:cs="仿宋"/>
                <w:sz w:val="24"/>
              </w:rPr>
              <w:t>项方案更具有可行性，操作性，难点、重点、关键点分析透彻的每一条加1分，最多加</w:t>
            </w:r>
            <w:r>
              <w:rPr>
                <w:rFonts w:ascii="仿宋" w:hAnsi="仿宋" w:eastAsia="仿宋" w:cs="仿宋"/>
                <w:sz w:val="24"/>
              </w:rPr>
              <w:t>3</w:t>
            </w:r>
            <w:r>
              <w:rPr>
                <w:rFonts w:hint="eastAsia" w:ascii="仿宋" w:hAnsi="仿宋" w:eastAsia="仿宋" w:cs="仿宋"/>
                <w:sz w:val="24"/>
              </w:rPr>
              <w:t>分；</w:t>
            </w:r>
          </w:p>
          <w:p>
            <w:pPr>
              <w:widowControl/>
              <w:rPr>
                <w:rFonts w:ascii="仿宋" w:hAnsi="仿宋" w:eastAsia="仿宋" w:cs="仿宋"/>
                <w:sz w:val="24"/>
              </w:rPr>
            </w:pPr>
            <w:r>
              <w:rPr>
                <w:rFonts w:hint="eastAsia" w:ascii="仿宋" w:hAnsi="仿宋" w:eastAsia="仿宋" w:cs="仿宋"/>
                <w:sz w:val="24"/>
              </w:rPr>
              <w:t>③本项共计10分。</w:t>
            </w:r>
          </w:p>
        </w:tc>
        <w:tc>
          <w:tcPr>
            <w:tcW w:w="3035" w:type="dxa"/>
            <w:vMerge w:val="continue"/>
            <w:tcBorders>
              <w:left w:val="single" w:color="auto" w:sz="4" w:space="0"/>
              <w:bottom w:val="single" w:color="auto" w:sz="4" w:space="0"/>
              <w:right w:val="single" w:color="auto" w:sz="4" w:space="0"/>
            </w:tcBorders>
            <w:vAlign w:val="center"/>
          </w:tcPr>
          <w:p>
            <w:pPr>
              <w:widowControl/>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4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3</w:t>
            </w:r>
          </w:p>
        </w:tc>
        <w:tc>
          <w:tcPr>
            <w:tcW w:w="128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商务部分35%</w:t>
            </w:r>
          </w:p>
        </w:tc>
        <w:tc>
          <w:tcPr>
            <w:tcW w:w="46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35</w:t>
            </w:r>
          </w:p>
        </w:tc>
        <w:tc>
          <w:tcPr>
            <w:tcW w:w="4602" w:type="dxa"/>
            <w:tcBorders>
              <w:top w:val="single" w:color="auto" w:sz="4" w:space="0"/>
              <w:left w:val="single" w:color="auto" w:sz="4" w:space="0"/>
              <w:bottom w:val="single" w:color="auto" w:sz="4" w:space="0"/>
              <w:right w:val="single" w:color="auto" w:sz="4" w:space="0"/>
            </w:tcBorders>
          </w:tcPr>
          <w:p>
            <w:pPr>
              <w:widowControl/>
              <w:rPr>
                <w:rFonts w:ascii="仿宋" w:hAnsi="仿宋" w:eastAsia="仿宋" w:cs="仿宋"/>
                <w:sz w:val="24"/>
              </w:rPr>
            </w:pPr>
            <w:r>
              <w:rPr>
                <w:rFonts w:hint="eastAsia" w:ascii="仿宋" w:hAnsi="仿宋" w:eastAsia="仿宋" w:cs="仿宋"/>
                <w:sz w:val="24"/>
              </w:rPr>
              <w:t>1、提供</w:t>
            </w:r>
            <w:r>
              <w:rPr>
                <w:rFonts w:hint="eastAsia" w:ascii="仿宋" w:hAnsi="仿宋" w:eastAsia="仿宋" w:cs="仿宋"/>
                <w:color w:val="000000"/>
                <w:sz w:val="24"/>
                <w:szCs w:val="22"/>
              </w:rPr>
              <w:t>特定单病种监测上报系统</w:t>
            </w:r>
            <w:r>
              <w:rPr>
                <w:rFonts w:hint="eastAsia" w:ascii="仿宋" w:hAnsi="仿宋" w:eastAsia="仿宋" w:cs="仿宋"/>
                <w:sz w:val="24"/>
              </w:rPr>
              <w:t>项目经验（提供合同为</w:t>
            </w:r>
            <w:r>
              <w:rPr>
                <w:rFonts w:hint="eastAsia" w:ascii="仿宋" w:hAnsi="仿宋" w:eastAsia="仿宋" w:cs="仿宋"/>
                <w:color w:val="000000"/>
                <w:sz w:val="24"/>
                <w:szCs w:val="22"/>
              </w:rPr>
              <w:t>特定单病种监测上报系统</w:t>
            </w:r>
            <w:r>
              <w:rPr>
                <w:rFonts w:hint="eastAsia" w:ascii="仿宋" w:hAnsi="仿宋" w:eastAsia="仿宋" w:cs="仿宋"/>
                <w:sz w:val="24"/>
              </w:rPr>
              <w:t>合同，以提供项目合同签字盖章页复印件为准），每提供1家得</w:t>
            </w:r>
            <w:r>
              <w:rPr>
                <w:rFonts w:ascii="仿宋" w:hAnsi="仿宋" w:eastAsia="仿宋" w:cs="仿宋"/>
                <w:sz w:val="24"/>
              </w:rPr>
              <w:t>3</w:t>
            </w:r>
            <w:r>
              <w:rPr>
                <w:rFonts w:hint="eastAsia" w:ascii="仿宋" w:hAnsi="仿宋" w:eastAsia="仿宋" w:cs="仿宋"/>
                <w:sz w:val="24"/>
              </w:rPr>
              <w:t>分，最高得9分。</w:t>
            </w:r>
          </w:p>
        </w:tc>
        <w:tc>
          <w:tcPr>
            <w:tcW w:w="3035"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rPr>
            </w:pPr>
          </w:p>
          <w:p>
            <w:pPr>
              <w:widowControl/>
              <w:rPr>
                <w:rFonts w:ascii="仿宋" w:hAnsi="仿宋" w:eastAsia="仿宋" w:cs="仿宋"/>
                <w:sz w:val="24"/>
              </w:rPr>
            </w:pPr>
          </w:p>
          <w:p>
            <w:pPr>
              <w:widowControl/>
              <w:rPr>
                <w:rFonts w:ascii="仿宋" w:hAnsi="仿宋" w:eastAsia="仿宋" w:cs="仿宋"/>
                <w:sz w:val="24"/>
              </w:rPr>
            </w:pPr>
            <w:r>
              <w:rPr>
                <w:rFonts w:hint="eastAsia" w:ascii="仿宋" w:hAnsi="仿宋" w:eastAsia="仿宋" w:cs="仿宋"/>
                <w:sz w:val="24"/>
              </w:rPr>
              <w:t>提供相关证明文件，无证明文件不得分。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41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p>
        </w:tc>
        <w:tc>
          <w:tcPr>
            <w:tcW w:w="1281"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rPr>
            </w:pPr>
          </w:p>
        </w:tc>
        <w:tc>
          <w:tcPr>
            <w:tcW w:w="4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p>
        </w:tc>
        <w:tc>
          <w:tcPr>
            <w:tcW w:w="4602" w:type="dxa"/>
            <w:tcBorders>
              <w:top w:val="single" w:color="auto" w:sz="4" w:space="0"/>
              <w:left w:val="single" w:color="auto" w:sz="4" w:space="0"/>
              <w:bottom w:val="single" w:color="auto" w:sz="4" w:space="0"/>
              <w:right w:val="single" w:color="auto" w:sz="4" w:space="0"/>
            </w:tcBorders>
          </w:tcPr>
          <w:p>
            <w:pPr>
              <w:widowControl/>
              <w:rPr>
                <w:rFonts w:hint="eastAsia" w:ascii="仿宋" w:hAnsi="仿宋" w:eastAsia="仿宋" w:cs="仿宋"/>
                <w:sz w:val="24"/>
              </w:rPr>
            </w:pPr>
            <w:r>
              <w:rPr>
                <w:rFonts w:hint="eastAsia" w:ascii="仿宋" w:hAnsi="仿宋" w:eastAsia="仿宋" w:cs="仿宋"/>
                <w:sz w:val="24"/>
              </w:rPr>
              <w:t>供应商具有单病种监测上报系统、E</w:t>
            </w:r>
            <w:r>
              <w:rPr>
                <w:rFonts w:ascii="仿宋" w:hAnsi="仿宋" w:eastAsia="仿宋" w:cs="仿宋"/>
                <w:sz w:val="24"/>
              </w:rPr>
              <w:t>TL</w:t>
            </w:r>
            <w:r>
              <w:rPr>
                <w:rFonts w:hint="eastAsia" w:ascii="仿宋" w:hAnsi="仿宋" w:eastAsia="仿宋" w:cs="仿宋"/>
                <w:sz w:val="24"/>
              </w:rPr>
              <w:t>采集工具的产品著作权证书，每提供一个得3分，本项最多得6分。提供著作权复印件为准。</w:t>
            </w:r>
          </w:p>
        </w:tc>
        <w:tc>
          <w:tcPr>
            <w:tcW w:w="303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1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p>
        </w:tc>
        <w:tc>
          <w:tcPr>
            <w:tcW w:w="1281"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rPr>
            </w:pPr>
          </w:p>
        </w:tc>
        <w:tc>
          <w:tcPr>
            <w:tcW w:w="4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p>
        </w:tc>
        <w:tc>
          <w:tcPr>
            <w:tcW w:w="4602" w:type="dxa"/>
            <w:tcBorders>
              <w:top w:val="single" w:color="auto" w:sz="4" w:space="0"/>
              <w:left w:val="single" w:color="auto" w:sz="4" w:space="0"/>
              <w:bottom w:val="single" w:color="auto" w:sz="4" w:space="0"/>
              <w:right w:val="single" w:color="auto" w:sz="4" w:space="0"/>
            </w:tcBorders>
          </w:tcPr>
          <w:p>
            <w:pPr>
              <w:widowControl/>
              <w:rPr>
                <w:rFonts w:hint="eastAsia" w:ascii="仿宋" w:hAnsi="仿宋" w:eastAsia="仿宋" w:cs="仿宋"/>
                <w:sz w:val="24"/>
              </w:rPr>
            </w:pPr>
            <w:r>
              <w:rPr>
                <w:rFonts w:hint="eastAsia" w:ascii="仿宋" w:hAnsi="仿宋" w:eastAsia="仿宋" w:cs="仿宋"/>
                <w:sz w:val="24"/>
              </w:rPr>
              <w:t>供应商具有ICD-11信息化平台案例，每提供一个得6分，本项最高得6分。提供中标通知书或合同复印件为准。</w:t>
            </w:r>
          </w:p>
        </w:tc>
        <w:tc>
          <w:tcPr>
            <w:tcW w:w="303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1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p>
        </w:tc>
        <w:tc>
          <w:tcPr>
            <w:tcW w:w="1281"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rPr>
            </w:pPr>
          </w:p>
        </w:tc>
        <w:tc>
          <w:tcPr>
            <w:tcW w:w="4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p>
        </w:tc>
        <w:tc>
          <w:tcPr>
            <w:tcW w:w="4602" w:type="dxa"/>
            <w:tcBorders>
              <w:top w:val="single" w:color="auto" w:sz="4" w:space="0"/>
              <w:left w:val="single" w:color="auto" w:sz="4" w:space="0"/>
              <w:bottom w:val="single" w:color="auto" w:sz="4" w:space="0"/>
              <w:right w:val="single" w:color="auto" w:sz="4" w:space="0"/>
            </w:tcBorders>
          </w:tcPr>
          <w:p>
            <w:pPr>
              <w:widowControl/>
              <w:rPr>
                <w:rFonts w:ascii="仿宋" w:hAnsi="仿宋" w:eastAsia="仿宋" w:cs="仿宋"/>
                <w:sz w:val="24"/>
              </w:rPr>
            </w:pPr>
            <w:r>
              <w:rPr>
                <w:rFonts w:hint="eastAsia" w:ascii="仿宋" w:hAnsi="仿宋" w:eastAsia="仿宋" w:cs="仿宋"/>
                <w:sz w:val="24"/>
              </w:rPr>
              <w:t xml:space="preserve">4、获得CN-DRGs授权许可文件得 5分，不符合的得0分。 </w:t>
            </w:r>
          </w:p>
        </w:tc>
        <w:tc>
          <w:tcPr>
            <w:tcW w:w="303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1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p>
        </w:tc>
        <w:tc>
          <w:tcPr>
            <w:tcW w:w="1281"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rPr>
            </w:pPr>
          </w:p>
        </w:tc>
        <w:tc>
          <w:tcPr>
            <w:tcW w:w="4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p>
        </w:tc>
        <w:tc>
          <w:tcPr>
            <w:tcW w:w="4602" w:type="dxa"/>
            <w:tcBorders>
              <w:top w:val="single" w:color="auto" w:sz="4" w:space="0"/>
              <w:left w:val="single" w:color="auto" w:sz="4" w:space="0"/>
              <w:bottom w:val="single" w:color="auto" w:sz="4" w:space="0"/>
              <w:right w:val="single" w:color="auto" w:sz="4" w:space="0"/>
            </w:tcBorders>
          </w:tcPr>
          <w:p>
            <w:pPr>
              <w:widowControl/>
              <w:rPr>
                <w:rFonts w:ascii="仿宋" w:hAnsi="仿宋" w:eastAsia="仿宋" w:cs="仿宋"/>
                <w:sz w:val="24"/>
              </w:rPr>
            </w:pPr>
            <w:r>
              <w:rPr>
                <w:rFonts w:hint="eastAsia" w:ascii="仿宋" w:hAnsi="仿宋" w:eastAsia="仿宋" w:cs="仿宋"/>
                <w:sz w:val="24"/>
              </w:rPr>
              <w:t>5、获得信息技术服务管理体系认证证（ISO 20000:2011）得</w:t>
            </w:r>
            <w:r>
              <w:rPr>
                <w:rFonts w:ascii="仿宋" w:hAnsi="仿宋" w:eastAsia="仿宋" w:cs="仿宋"/>
                <w:sz w:val="24"/>
              </w:rPr>
              <w:t>3</w:t>
            </w:r>
            <w:r>
              <w:rPr>
                <w:rFonts w:hint="eastAsia" w:ascii="仿宋" w:hAnsi="仿宋" w:eastAsia="仿宋" w:cs="仿宋"/>
                <w:sz w:val="24"/>
              </w:rPr>
              <w:t>分，不符合的得0分。</w:t>
            </w:r>
          </w:p>
        </w:tc>
        <w:tc>
          <w:tcPr>
            <w:tcW w:w="303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1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p>
        </w:tc>
        <w:tc>
          <w:tcPr>
            <w:tcW w:w="1281"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rPr>
            </w:pPr>
          </w:p>
        </w:tc>
        <w:tc>
          <w:tcPr>
            <w:tcW w:w="4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p>
        </w:tc>
        <w:tc>
          <w:tcPr>
            <w:tcW w:w="4602" w:type="dxa"/>
            <w:tcBorders>
              <w:top w:val="single" w:color="auto" w:sz="4" w:space="0"/>
              <w:left w:val="single" w:color="auto" w:sz="4" w:space="0"/>
              <w:bottom w:val="single" w:color="auto" w:sz="4" w:space="0"/>
              <w:right w:val="single" w:color="auto" w:sz="4" w:space="0"/>
            </w:tcBorders>
          </w:tcPr>
          <w:p>
            <w:pPr>
              <w:widowControl/>
              <w:rPr>
                <w:rFonts w:ascii="仿宋" w:hAnsi="仿宋" w:eastAsia="仿宋" w:cs="仿宋"/>
                <w:sz w:val="24"/>
              </w:rPr>
            </w:pPr>
            <w:r>
              <w:rPr>
                <w:rFonts w:hint="eastAsia" w:ascii="仿宋" w:hAnsi="仿宋" w:eastAsia="仿宋" w:cs="仿宋"/>
                <w:sz w:val="24"/>
              </w:rPr>
              <w:t>6、获得信息安全管理体系认证证书（ISO 27001:2005）得</w:t>
            </w:r>
            <w:r>
              <w:rPr>
                <w:rFonts w:ascii="仿宋" w:hAnsi="仿宋" w:eastAsia="仿宋" w:cs="仿宋"/>
                <w:sz w:val="24"/>
              </w:rPr>
              <w:t>3</w:t>
            </w:r>
            <w:r>
              <w:rPr>
                <w:rFonts w:hint="eastAsia" w:ascii="仿宋" w:hAnsi="仿宋" w:eastAsia="仿宋" w:cs="仿宋"/>
                <w:sz w:val="24"/>
              </w:rPr>
              <w:t>分，不符合的得0分。</w:t>
            </w:r>
          </w:p>
        </w:tc>
        <w:tc>
          <w:tcPr>
            <w:tcW w:w="303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p>
        </w:tc>
        <w:tc>
          <w:tcPr>
            <w:tcW w:w="1281"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rPr>
            </w:pPr>
          </w:p>
        </w:tc>
        <w:tc>
          <w:tcPr>
            <w:tcW w:w="4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p>
        </w:tc>
        <w:tc>
          <w:tcPr>
            <w:tcW w:w="4602" w:type="dxa"/>
            <w:tcBorders>
              <w:top w:val="single" w:color="auto" w:sz="4" w:space="0"/>
              <w:left w:val="single" w:color="auto" w:sz="4" w:space="0"/>
              <w:bottom w:val="single" w:color="auto" w:sz="4" w:space="0"/>
              <w:right w:val="single" w:color="auto" w:sz="4" w:space="0"/>
            </w:tcBorders>
          </w:tcPr>
          <w:p>
            <w:pPr>
              <w:widowControl/>
              <w:rPr>
                <w:rFonts w:ascii="仿宋" w:hAnsi="仿宋" w:eastAsia="仿宋" w:cs="仿宋"/>
                <w:sz w:val="24"/>
              </w:rPr>
            </w:pPr>
            <w:r>
              <w:rPr>
                <w:rFonts w:hint="eastAsia" w:ascii="仿宋" w:hAnsi="仿宋" w:eastAsia="仿宋" w:cs="仿宋"/>
                <w:sz w:val="24"/>
              </w:rPr>
              <w:t>7.获得CMMI三级或以上证书得</w:t>
            </w:r>
            <w:r>
              <w:rPr>
                <w:rFonts w:ascii="仿宋" w:hAnsi="仿宋" w:eastAsia="仿宋" w:cs="仿宋"/>
                <w:sz w:val="24"/>
              </w:rPr>
              <w:t>3</w:t>
            </w:r>
            <w:r>
              <w:rPr>
                <w:rFonts w:hint="eastAsia" w:ascii="仿宋" w:hAnsi="仿宋" w:eastAsia="仿宋" w:cs="仿宋"/>
                <w:sz w:val="24"/>
              </w:rPr>
              <w:t>分，不符合的得0分。</w:t>
            </w:r>
          </w:p>
        </w:tc>
        <w:tc>
          <w:tcPr>
            <w:tcW w:w="303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4</w:t>
            </w:r>
          </w:p>
        </w:tc>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项目团队10%</w:t>
            </w:r>
          </w:p>
        </w:tc>
        <w:tc>
          <w:tcPr>
            <w:tcW w:w="4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10</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rPr>
            </w:pPr>
            <w:bookmarkStart w:id="59" w:name="OLE_LINK16"/>
            <w:r>
              <w:rPr>
                <w:rFonts w:hint="eastAsia" w:ascii="仿宋" w:hAnsi="仿宋" w:eastAsia="仿宋" w:cs="仿宋"/>
                <w:sz w:val="24"/>
              </w:rPr>
              <w:t>1.投标人拟派驻的项目经理同时具有信息系统项目管理师、软件设计师和CDA数据分析师的，得4分，否则不得分；</w:t>
            </w:r>
          </w:p>
          <w:p>
            <w:pPr>
              <w:widowControl/>
              <w:rPr>
                <w:rFonts w:ascii="仿宋" w:hAnsi="仿宋" w:eastAsia="仿宋" w:cs="仿宋"/>
                <w:sz w:val="24"/>
              </w:rPr>
            </w:pPr>
            <w:r>
              <w:rPr>
                <w:rFonts w:hint="eastAsia" w:ascii="仿宋" w:hAnsi="仿宋" w:eastAsia="仿宋" w:cs="仿宋"/>
                <w:sz w:val="24"/>
              </w:rPr>
              <w:t>2.项目人员的资质</w:t>
            </w:r>
          </w:p>
          <w:p>
            <w:pPr>
              <w:widowControl/>
              <w:rPr>
                <w:rFonts w:ascii="仿宋" w:hAnsi="仿宋" w:eastAsia="仿宋" w:cs="仿宋"/>
                <w:sz w:val="24"/>
              </w:rPr>
            </w:pPr>
            <w:r>
              <w:rPr>
                <w:rFonts w:hint="eastAsia" w:ascii="仿宋" w:hAnsi="仿宋" w:eastAsia="仿宋" w:cs="仿宋"/>
                <w:sz w:val="24"/>
              </w:rPr>
              <w:t>投标人拟派项目团队人员均须为投标人正式聘用人员：</w:t>
            </w:r>
          </w:p>
          <w:p>
            <w:pPr>
              <w:widowControl/>
              <w:rPr>
                <w:rFonts w:ascii="仿宋" w:hAnsi="仿宋" w:eastAsia="仿宋" w:cs="仿宋"/>
                <w:sz w:val="24"/>
              </w:rPr>
            </w:pPr>
            <w:r>
              <w:rPr>
                <w:rFonts w:hint="eastAsia" w:ascii="仿宋" w:hAnsi="仿宋" w:eastAsia="仿宋" w:cs="仿宋"/>
                <w:sz w:val="24"/>
              </w:rPr>
              <w:t>（1）至少有1人具有计算机技术与软件专业技术资格（水平）考试信息系统项目管理师高级证书，得2分。</w:t>
            </w:r>
          </w:p>
          <w:p>
            <w:pPr>
              <w:widowControl/>
              <w:rPr>
                <w:rFonts w:ascii="仿宋" w:hAnsi="仿宋" w:eastAsia="仿宋" w:cs="仿宋"/>
                <w:sz w:val="24"/>
              </w:rPr>
            </w:pPr>
            <w:r>
              <w:rPr>
                <w:rFonts w:hint="eastAsia" w:ascii="仿宋" w:hAnsi="仿宋" w:eastAsia="仿宋" w:cs="仿宋"/>
                <w:sz w:val="24"/>
              </w:rPr>
              <w:t>（2）至少有1人具有计算机技术与软件专业技术资格（水平）考试数据库系统工程师证书，得2分。</w:t>
            </w:r>
          </w:p>
          <w:p>
            <w:pPr>
              <w:widowControl/>
              <w:rPr>
                <w:rFonts w:ascii="仿宋" w:hAnsi="仿宋" w:eastAsia="仿宋" w:cs="仿宋"/>
                <w:sz w:val="24"/>
              </w:rPr>
            </w:pPr>
            <w:r>
              <w:rPr>
                <w:rFonts w:hint="eastAsia" w:ascii="仿宋" w:hAnsi="仿宋" w:eastAsia="仿宋" w:cs="仿宋"/>
                <w:sz w:val="24"/>
              </w:rPr>
              <w:t>（3）至少有1人具有计算机技术与软件专业技术资格（水平）软件设计师证书。得2分；</w:t>
            </w:r>
          </w:p>
          <w:p>
            <w:pPr>
              <w:widowControl/>
              <w:rPr>
                <w:rFonts w:ascii="仿宋" w:hAnsi="仿宋" w:eastAsia="仿宋" w:cs="仿宋"/>
                <w:sz w:val="24"/>
              </w:rPr>
            </w:pPr>
            <w:r>
              <w:rPr>
                <w:rFonts w:hint="eastAsia" w:ascii="仿宋" w:hAnsi="仿宋" w:eastAsia="仿宋" w:cs="仿宋"/>
                <w:sz w:val="24"/>
              </w:rPr>
              <w:t>以上1-2项须提供证书扫描件，以及项目团队人员招标截止之日前3个月内的社保证明扫描件。</w:t>
            </w:r>
          </w:p>
          <w:p>
            <w:pPr>
              <w:widowControl/>
              <w:rPr>
                <w:rFonts w:ascii="仿宋" w:hAnsi="仿宋" w:eastAsia="仿宋" w:cs="仿宋"/>
                <w:sz w:val="24"/>
              </w:rPr>
            </w:pPr>
            <w:r>
              <w:rPr>
                <w:rFonts w:hint="eastAsia" w:ascii="仿宋" w:hAnsi="仿宋" w:eastAsia="仿宋" w:cs="仿宋"/>
                <w:sz w:val="24"/>
              </w:rPr>
              <w:t>注：一人持多项证书不重复得分。</w:t>
            </w:r>
            <w:bookmarkEnd w:id="59"/>
          </w:p>
        </w:tc>
        <w:tc>
          <w:tcPr>
            <w:tcW w:w="303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5</w:t>
            </w:r>
          </w:p>
        </w:tc>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响应文件的规范性5%</w:t>
            </w:r>
          </w:p>
        </w:tc>
        <w:tc>
          <w:tcPr>
            <w:tcW w:w="4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5</w:t>
            </w:r>
          </w:p>
        </w:tc>
        <w:tc>
          <w:tcPr>
            <w:tcW w:w="4602"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rPr>
            </w:pPr>
            <w:r>
              <w:rPr>
                <w:rFonts w:hint="eastAsia" w:ascii="仿宋" w:hAnsi="仿宋" w:eastAsia="仿宋" w:cs="仿宋"/>
                <w:sz w:val="24"/>
              </w:rPr>
              <w:t>响应文件制作规范，没有细微偏差情形的得5分；有一项细微偏差扣0.5分，直至该项分值扣完为止。</w:t>
            </w:r>
          </w:p>
        </w:tc>
        <w:tc>
          <w:tcPr>
            <w:tcW w:w="303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rPr>
            </w:pPr>
            <w:r>
              <w:rPr>
                <w:rFonts w:hint="eastAsia" w:ascii="仿宋" w:hAnsi="仿宋" w:eastAsia="仿宋" w:cs="仿宋"/>
                <w:sz w:val="24"/>
              </w:rPr>
              <w:t>根据招响应文件的要求格式进行评分</w:t>
            </w:r>
          </w:p>
        </w:tc>
      </w:tr>
    </w:tbl>
    <w:p>
      <w:pPr>
        <w:spacing w:line="500" w:lineRule="exact"/>
        <w:rPr>
          <w:rFonts w:ascii="宋体" w:hAnsi="宋体"/>
          <w:b/>
          <w:bCs/>
          <w:sz w:val="28"/>
          <w:szCs w:val="28"/>
        </w:rPr>
      </w:pPr>
    </w:p>
    <w:p>
      <w:pPr>
        <w:spacing w:line="490" w:lineRule="exact"/>
        <w:rPr>
          <w:rFonts w:ascii="Arial" w:hAnsi="Arial" w:eastAsia="黑体"/>
          <w:color w:val="000000"/>
          <w:kern w:val="0"/>
          <w:sz w:val="28"/>
          <w:szCs w:val="28"/>
        </w:rPr>
      </w:pPr>
    </w:p>
    <w:p>
      <w:pPr>
        <w:spacing w:line="360" w:lineRule="auto"/>
        <w:rPr>
          <w:rFonts w:ascii="Arial" w:hAnsi="Arial" w:eastAsia="黑体"/>
          <w:color w:val="000000"/>
          <w:sz w:val="28"/>
          <w:szCs w:val="28"/>
        </w:rPr>
      </w:pPr>
    </w:p>
    <w:p>
      <w:pPr>
        <w:pStyle w:val="4"/>
        <w:spacing w:before="60" w:after="60" w:line="240" w:lineRule="auto"/>
        <w:rPr>
          <w:b w:val="0"/>
          <w:bCs w:val="0"/>
          <w:color w:val="000000"/>
        </w:rPr>
      </w:pPr>
      <w:r>
        <w:rPr>
          <w:rFonts w:hint="eastAsia"/>
          <w:b w:val="0"/>
          <w:bCs w:val="0"/>
          <w:color w:val="000000"/>
        </w:rPr>
        <w:t>6.4投标报价</w:t>
      </w:r>
    </w:p>
    <w:p>
      <w:pPr>
        <w:spacing w:line="360" w:lineRule="auto"/>
        <w:ind w:firstLine="420" w:firstLineChars="200"/>
        <w:rPr>
          <w:rFonts w:ascii="宋体" w:hAnsi="宋体"/>
          <w:color w:val="000000"/>
          <w:szCs w:val="21"/>
        </w:rPr>
      </w:pPr>
      <w:r>
        <w:rPr>
          <w:rFonts w:hint="eastAsia" w:ascii="宋体" w:hAnsi="宋体"/>
          <w:color w:val="000000"/>
          <w:szCs w:val="21"/>
        </w:rPr>
        <w:t>6.4.1所有投标报价单价以人民币元为单位，开标一览表报价以人民币元为单位，未按规定报价视为不合格标。</w:t>
      </w:r>
    </w:p>
    <w:p>
      <w:pPr>
        <w:spacing w:line="360" w:lineRule="auto"/>
        <w:ind w:firstLine="420" w:firstLineChars="200"/>
        <w:rPr>
          <w:rFonts w:ascii="宋体" w:hAnsi="宋体"/>
          <w:color w:val="000000"/>
          <w:szCs w:val="21"/>
        </w:rPr>
      </w:pPr>
      <w:r>
        <w:rPr>
          <w:rFonts w:hint="eastAsia" w:ascii="宋体" w:hAnsi="宋体"/>
          <w:color w:val="000000"/>
          <w:szCs w:val="21"/>
        </w:rPr>
        <w:t>6.4.2开标时，投标文件的大写金额和小写金额不一致的，以最低金额为准；总价金额与单价汇总金额不一致的，以单价金额计算结果为准。</w:t>
      </w:r>
      <w:r>
        <w:rPr>
          <w:rFonts w:ascii="宋体" w:hAnsi="宋体"/>
          <w:color w:val="000000"/>
          <w:szCs w:val="21"/>
        </w:rPr>
        <w:t xml:space="preserve"> </w:t>
      </w:r>
    </w:p>
    <w:p>
      <w:pPr>
        <w:spacing w:line="360" w:lineRule="auto"/>
        <w:ind w:firstLine="420" w:firstLineChars="200"/>
        <w:rPr>
          <w:rFonts w:ascii="宋体" w:hAnsi="宋体"/>
          <w:color w:val="000000"/>
          <w:szCs w:val="21"/>
        </w:rPr>
      </w:pPr>
      <w:r>
        <w:rPr>
          <w:rFonts w:hint="eastAsia" w:ascii="宋体" w:hAnsi="宋体"/>
          <w:color w:val="000000"/>
          <w:szCs w:val="21"/>
        </w:rPr>
        <w:t>6.4.3投标报价应按招标文件规定的格式填写。</w:t>
      </w:r>
    </w:p>
    <w:p>
      <w:pPr>
        <w:spacing w:line="360" w:lineRule="auto"/>
        <w:ind w:firstLine="420" w:firstLineChars="200"/>
        <w:rPr>
          <w:rFonts w:ascii="宋体" w:hAnsi="宋体"/>
          <w:color w:val="000000"/>
          <w:szCs w:val="21"/>
        </w:rPr>
      </w:pPr>
      <w:r>
        <w:rPr>
          <w:rFonts w:hint="eastAsia" w:ascii="宋体" w:hAnsi="宋体"/>
          <w:color w:val="000000"/>
          <w:szCs w:val="21"/>
        </w:rPr>
        <w:t>6.4.4投标价中标明的价格应为履行合同的固定价格，投标人中标后不得以任何理由对中标价格提出变更或修改。</w:t>
      </w:r>
    </w:p>
    <w:p>
      <w:pPr>
        <w:spacing w:line="490" w:lineRule="atLeast"/>
        <w:jc w:val="left"/>
        <w:rPr>
          <w:rFonts w:ascii="宋体" w:hAnsi="宋体"/>
          <w:color w:val="000000"/>
          <w:szCs w:val="21"/>
        </w:rPr>
      </w:pPr>
      <w:r>
        <w:rPr>
          <w:rFonts w:hint="eastAsia" w:ascii="宋体" w:hAnsi="宋体" w:cs="宋体"/>
          <w:color w:val="000000"/>
          <w:sz w:val="24"/>
        </w:rPr>
        <w:t xml:space="preserve">    </w:t>
      </w:r>
      <w:r>
        <w:rPr>
          <w:rFonts w:hint="eastAsia" w:ascii="宋体" w:hAnsi="宋体"/>
          <w:color w:val="000000"/>
          <w:szCs w:val="21"/>
        </w:rPr>
        <w:t>6.5.中标通知</w:t>
      </w:r>
    </w:p>
    <w:p>
      <w:pPr>
        <w:spacing w:line="360" w:lineRule="auto"/>
        <w:ind w:firstLine="420" w:firstLineChars="200"/>
        <w:rPr>
          <w:rFonts w:ascii="宋体" w:hAnsi="宋体"/>
          <w:color w:val="000000"/>
          <w:szCs w:val="21"/>
        </w:rPr>
      </w:pPr>
      <w:r>
        <w:rPr>
          <w:rFonts w:hint="eastAsia" w:ascii="宋体" w:hAnsi="宋体"/>
          <w:color w:val="000000"/>
          <w:szCs w:val="21"/>
        </w:rPr>
        <w:t xml:space="preserve">    招标人书面通知中标人，若中标人拒绝承担中标的项目，或提出招标人不能接受的条件，致使合同无法签订，招标人将取消其中标资格，招标人可与第二预中标公司签订合同或另行组织开标。</w:t>
      </w:r>
    </w:p>
    <w:p>
      <w:pPr>
        <w:pStyle w:val="3"/>
        <w:spacing w:before="100" w:after="100" w:line="240" w:lineRule="auto"/>
        <w:rPr>
          <w:bCs w:val="0"/>
          <w:color w:val="000000"/>
          <w:sz w:val="44"/>
          <w:szCs w:val="44"/>
        </w:rPr>
      </w:pPr>
    </w:p>
    <w:p>
      <w:pPr>
        <w:pStyle w:val="3"/>
        <w:spacing w:before="100" w:after="100" w:line="240" w:lineRule="auto"/>
        <w:rPr>
          <w:bCs w:val="0"/>
          <w:color w:val="000000"/>
          <w:sz w:val="44"/>
          <w:szCs w:val="44"/>
        </w:rPr>
      </w:pPr>
      <w:r>
        <w:rPr>
          <w:bCs w:val="0"/>
          <w:color w:val="000000"/>
          <w:sz w:val="44"/>
          <w:szCs w:val="44"/>
        </w:rPr>
        <w:t>技术参数需求</w:t>
      </w:r>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1744"/>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jc w:val="center"/>
        </w:trPr>
        <w:tc>
          <w:tcPr>
            <w:tcW w:w="52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序号</w:t>
            </w:r>
          </w:p>
        </w:tc>
        <w:tc>
          <w:tcPr>
            <w:tcW w:w="9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产品名称</w:t>
            </w:r>
          </w:p>
        </w:tc>
        <w:tc>
          <w:tcPr>
            <w:tcW w:w="356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52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w:t>
            </w:r>
          </w:p>
        </w:tc>
        <w:tc>
          <w:tcPr>
            <w:tcW w:w="9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仿宋" w:hAnsi="仿宋" w:eastAsia="仿宋" w:cs="仿宋"/>
                <w:color w:val="000000"/>
                <w:sz w:val="24"/>
                <w:szCs w:val="22"/>
              </w:rPr>
              <w:t>特定单病种监测上报系统</w:t>
            </w:r>
          </w:p>
        </w:tc>
        <w:tc>
          <w:tcPr>
            <w:tcW w:w="3560" w:type="pct"/>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1．支持2020年国家卫生健康委公布的单病种类型进行上报。</w:t>
            </w:r>
          </w:p>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2．支持和临床业务系统对接，自动判断是否是单病种。</w:t>
            </w:r>
          </w:p>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▲3.支持单病种必填项控制，审核时对必填项字段未填写进行提示。</w:t>
            </w:r>
          </w:p>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4.支持强制验证项字段若超过正常值，系统给予提示，不允许填写。</w:t>
            </w:r>
          </w:p>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▲5．填报病种页面可查看填报要求及填报注意事项。</w:t>
            </w:r>
          </w:p>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▲6.填报的单病种支持上报至院内指定审核部门，审核完成的后数据可直接上报至国家平台。</w:t>
            </w:r>
          </w:p>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7.系统提供单病种查询、单病种复合查询、未录入查询、草稿箱功能。</w:t>
            </w:r>
          </w:p>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8.系统支持院内上报的待审核病种进行消息提醒，在系统上方提示待审核病种例数。</w:t>
            </w:r>
          </w:p>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9.支持对院内上报的单病种进行审核操作，并标记是否上报到国家平台。</w:t>
            </w:r>
          </w:p>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▲10.支持对已上报到国家平台的数据进行查看，并查看上报状态。</w:t>
            </w:r>
          </w:p>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11.支持根据单病种类型、事件编号、是否上报、当前状态、上报状态、是否删除、病案号、科室和创建人进行单病种查询，并将查询结果导出excel表。</w:t>
            </w:r>
          </w:p>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12.支持单病种复合查询。</w:t>
            </w:r>
          </w:p>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13.支持未录入单病种查询，根据入院日期、病种名称、科室查询未录入的单病种列表。</w:t>
            </w:r>
          </w:p>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14.支持草稿箱管理，对于录入的单病种信息，可以在上报之前保存在草稿箱。</w:t>
            </w:r>
          </w:p>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15.系统提供例数统计、终末质量指标、过程质量指标数据统计。</w:t>
            </w:r>
          </w:p>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▲16.例数统计可以按照出院时间和科室条件统计上报例数。统计结果以报表和图表相结合的形式进行展示。</w:t>
            </w:r>
          </w:p>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▲17.支持终末质量指标统计，根据出院时间和科室统计各单病种的终末质量指标，包括单病种例数、平均住院费用、平均住院天数、死亡率、平均术后住院天数、并发症率、医保支付率和重复住院率。</w:t>
            </w:r>
          </w:p>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18.支持过程质量指标统计，可根据单病种类型、出院时间和科室统计不同单病种过程质量指标的数量。</w:t>
            </w:r>
          </w:p>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19.系统管理模块包含用户管理、科室维护、科室分类维护、病种类型维护、系统菜单维护、操作日志查询和角色维护。</w:t>
            </w:r>
          </w:p>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20.用户管理模块可以维护用户的基本信息和用户权限，包括是否可查看本科室数据、是否有审核权限以及权限内的科室等。</w:t>
            </w:r>
          </w:p>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▲21．支持病种类型维护，可以停用现有病种和增加新的病种。</w:t>
            </w:r>
          </w:p>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22.支持操作日志查询，可以查询系统用户登陆操作的痕迹。包括工号、姓名、IP地址、日期、操作类型、编号和备注。</w:t>
            </w:r>
          </w:p>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23.支持页面系统维护，包括系统字典类型维护、系统字典维护、页面内容维护、接口数据源维护等。</w:t>
            </w:r>
          </w:p>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24.接口数据源能够支持MSSQLSERVER、ORACLE、SYBASE数据库类型，数据库连接配置支持通过接口编号、接口描述、服务名称、数据库端口号等进行设置。</w:t>
            </w:r>
          </w:p>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▲25.支持页面内容维护，可根据上报页面、类型等，查询页面详细内容，并对页面内容进行调整和修改。包括是否隐藏、是否联动、判断、数值、连接、初始化、是否上报等。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52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w:t>
            </w:r>
          </w:p>
        </w:tc>
        <w:tc>
          <w:tcPr>
            <w:tcW w:w="913" w:type="pct"/>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接口服务</w:t>
            </w:r>
          </w:p>
        </w:tc>
        <w:tc>
          <w:tcPr>
            <w:tcW w:w="3560" w:type="pct"/>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1、开发与HIS系统数据库接口程序。</w:t>
            </w:r>
          </w:p>
          <w:p>
            <w:pPr>
              <w:spacing w:line="400" w:lineRule="exact"/>
              <w:jc w:val="left"/>
              <w:rPr>
                <w:rFonts w:ascii="仿宋" w:hAnsi="仿宋" w:eastAsia="仿宋" w:cs="仿宋"/>
                <w:color w:val="000000"/>
                <w:sz w:val="24"/>
                <w:szCs w:val="22"/>
              </w:rPr>
            </w:pPr>
            <w:r>
              <w:rPr>
                <w:rFonts w:hint="eastAsia" w:ascii="仿宋" w:hAnsi="仿宋" w:eastAsia="仿宋" w:cs="仿宋"/>
                <w:color w:val="000000"/>
                <w:sz w:val="24"/>
                <w:szCs w:val="22"/>
              </w:rPr>
              <w:t>2、调整系统对接接口问题。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52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w:t>
            </w:r>
          </w:p>
        </w:tc>
        <w:tc>
          <w:tcPr>
            <w:tcW w:w="9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sz w:val="24"/>
                <w:szCs w:val="22"/>
              </w:rPr>
            </w:pPr>
            <w:r>
              <w:rPr>
                <w:rFonts w:hint="eastAsia" w:ascii="仿宋" w:hAnsi="仿宋" w:eastAsia="仿宋" w:cs="仿宋"/>
                <w:color w:val="000000"/>
                <w:sz w:val="24"/>
                <w:szCs w:val="22"/>
              </w:rPr>
              <w:t>服务器</w:t>
            </w:r>
          </w:p>
        </w:tc>
        <w:tc>
          <w:tcPr>
            <w:tcW w:w="3560"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 w:hAnsi="仿宋" w:eastAsia="仿宋" w:cs="仿宋"/>
                <w:color w:val="000000"/>
                <w:kern w:val="0"/>
                <w:sz w:val="24"/>
              </w:rPr>
            </w:pPr>
            <w:r>
              <w:rPr>
                <w:rFonts w:hint="eastAsia" w:ascii="仿宋" w:hAnsi="仿宋" w:eastAsia="仿宋" w:cs="仿宋"/>
                <w:color w:val="000000"/>
                <w:kern w:val="0"/>
                <w:sz w:val="24"/>
              </w:rPr>
              <w:t>1. 规格：1U机架式服务器</w:t>
            </w:r>
          </w:p>
          <w:p>
            <w:pPr>
              <w:widowControl/>
              <w:textAlignment w:val="center"/>
              <w:rPr>
                <w:rFonts w:ascii="仿宋" w:hAnsi="仿宋" w:eastAsia="仿宋" w:cs="仿宋"/>
                <w:color w:val="000000"/>
                <w:kern w:val="0"/>
                <w:sz w:val="24"/>
              </w:rPr>
            </w:pPr>
            <w:r>
              <w:rPr>
                <w:rFonts w:hint="eastAsia" w:ascii="仿宋" w:hAnsi="仿宋" w:eastAsia="仿宋" w:cs="仿宋"/>
                <w:color w:val="000000"/>
                <w:kern w:val="0"/>
                <w:sz w:val="24"/>
              </w:rPr>
              <w:t>2. 性能要求：满足标的特定单病种质量系统运行需求。</w:t>
            </w:r>
          </w:p>
          <w:p>
            <w:pPr>
              <w:widowControl/>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3.处理器：配置不低于：单颗银牌处理器 </w:t>
            </w:r>
          </w:p>
          <w:p>
            <w:pPr>
              <w:widowControl/>
              <w:textAlignment w:val="center"/>
              <w:rPr>
                <w:rFonts w:ascii="仿宋" w:hAnsi="仿宋" w:eastAsia="仿宋" w:cs="仿宋"/>
                <w:color w:val="000000"/>
                <w:kern w:val="0"/>
                <w:sz w:val="24"/>
              </w:rPr>
            </w:pPr>
            <w:r>
              <w:rPr>
                <w:rFonts w:hint="eastAsia" w:ascii="仿宋" w:hAnsi="仿宋" w:eastAsia="仿宋" w:cs="仿宋"/>
                <w:color w:val="000000"/>
                <w:kern w:val="0"/>
                <w:sz w:val="24"/>
              </w:rPr>
              <w:t>4.内存：≥4条扩展插槽，≥64GB 2666 DDR4内存扩展，支持ECC UDIMMs 本次配置32GB UDIMM 2666 DDR4内存</w:t>
            </w:r>
          </w:p>
          <w:p>
            <w:pPr>
              <w:widowControl/>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5.硬盘：最大支持4个3.5 </w:t>
            </w:r>
          </w:p>
          <w:p>
            <w:pPr>
              <w:widowControl/>
              <w:textAlignment w:val="center"/>
              <w:rPr>
                <w:rFonts w:ascii="仿宋" w:hAnsi="仿宋" w:eastAsia="仿宋" w:cs="仿宋"/>
                <w:color w:val="000000"/>
                <w:kern w:val="0"/>
                <w:sz w:val="24"/>
              </w:rPr>
            </w:pPr>
            <w:r>
              <w:rPr>
                <w:rFonts w:hint="eastAsia" w:ascii="仿宋" w:hAnsi="仿宋" w:eastAsia="仿宋" w:cs="仿宋"/>
                <w:color w:val="000000"/>
                <w:kern w:val="0"/>
                <w:sz w:val="24"/>
              </w:rPr>
              <w:t>6.RAID：支持RAID0/1/10/5； 1GB RAID控制器缓存及以上；</w:t>
            </w:r>
          </w:p>
          <w:p>
            <w:pPr>
              <w:widowControl/>
              <w:textAlignment w:val="center"/>
              <w:rPr>
                <w:rFonts w:ascii="仿宋" w:hAnsi="仿宋" w:eastAsia="仿宋" w:cs="仿宋"/>
                <w:color w:val="000000"/>
                <w:kern w:val="0"/>
                <w:sz w:val="24"/>
              </w:rPr>
            </w:pPr>
            <w:r>
              <w:rPr>
                <w:rFonts w:hint="eastAsia" w:ascii="仿宋" w:hAnsi="仿宋" w:eastAsia="仿宋" w:cs="仿宋"/>
                <w:color w:val="000000"/>
                <w:kern w:val="0"/>
                <w:sz w:val="24"/>
              </w:rPr>
              <w:t>7.电源：默认一电源</w:t>
            </w:r>
          </w:p>
          <w:p>
            <w:pPr>
              <w:spacing w:line="400" w:lineRule="exact"/>
              <w:jc w:val="left"/>
              <w:rPr>
                <w:rFonts w:ascii="仿宋" w:hAnsi="仿宋" w:eastAsia="仿宋" w:cs="仿宋"/>
                <w:color w:val="000000"/>
                <w:sz w:val="24"/>
              </w:rPr>
            </w:pPr>
            <w:r>
              <w:rPr>
                <w:rFonts w:hint="eastAsia" w:ascii="仿宋" w:hAnsi="仿宋" w:eastAsia="仿宋" w:cs="仿宋"/>
                <w:color w:val="000000"/>
                <w:kern w:val="0"/>
                <w:sz w:val="24"/>
              </w:rPr>
              <w:t>8.服务器剩余容量：2T(RAID5或更高)</w:t>
            </w:r>
          </w:p>
        </w:tc>
      </w:tr>
    </w:tbl>
    <w:p/>
    <w:p>
      <w:pPr>
        <w:pStyle w:val="7"/>
        <w:spacing w:line="360" w:lineRule="auto"/>
        <w:ind w:firstLine="480"/>
        <w:rPr>
          <w:rFonts w:ascii="仿宋" w:hAnsi="仿宋" w:eastAsia="仿宋" w:cs="仿宋"/>
          <w:color w:val="000000"/>
          <w:sz w:val="24"/>
          <w:szCs w:val="22"/>
        </w:rPr>
      </w:pPr>
      <w:bookmarkStart w:id="60" w:name="_Toc456625324"/>
      <w:r>
        <w:rPr>
          <w:rFonts w:hint="eastAsia" w:ascii="仿宋" w:hAnsi="仿宋" w:eastAsia="仿宋" w:cs="仿宋"/>
          <w:color w:val="000000"/>
          <w:sz w:val="24"/>
        </w:rPr>
        <w:t>1、交付地点：</w:t>
      </w:r>
      <w:r>
        <w:rPr>
          <w:rFonts w:hint="eastAsia" w:ascii="仿宋" w:hAnsi="仿宋" w:eastAsia="仿宋" w:cs="仿宋"/>
          <w:color w:val="000000"/>
          <w:sz w:val="24"/>
          <w:szCs w:val="22"/>
        </w:rPr>
        <w:t>济南市济阳区人民医院</w:t>
      </w:r>
    </w:p>
    <w:bookmarkEnd w:id="60"/>
    <w:p>
      <w:pPr>
        <w:pStyle w:val="7"/>
        <w:spacing w:line="360" w:lineRule="auto"/>
        <w:ind w:firstLine="480"/>
        <w:rPr>
          <w:rFonts w:ascii="仿宋" w:hAnsi="仿宋" w:eastAsia="仿宋" w:cs="仿宋"/>
          <w:color w:val="000000"/>
          <w:sz w:val="24"/>
        </w:rPr>
      </w:pPr>
      <w:r>
        <w:rPr>
          <w:rFonts w:hint="eastAsia" w:ascii="仿宋" w:hAnsi="仿宋" w:eastAsia="仿宋" w:cs="仿宋"/>
          <w:color w:val="000000"/>
          <w:sz w:val="24"/>
        </w:rPr>
        <w:t>2、中标人要有完整的售后服务计划，提供完善的技术培训及运行维护方案；</w:t>
      </w:r>
    </w:p>
    <w:p>
      <w:pPr>
        <w:pStyle w:val="7"/>
        <w:spacing w:line="360" w:lineRule="auto"/>
        <w:ind w:firstLine="480"/>
        <w:rPr>
          <w:rFonts w:ascii="仿宋" w:hAnsi="仿宋" w:eastAsia="仿宋" w:cs="仿宋"/>
          <w:color w:val="000000"/>
          <w:sz w:val="24"/>
        </w:rPr>
      </w:pPr>
      <w:r>
        <w:rPr>
          <w:rFonts w:hint="eastAsia" w:ascii="仿宋" w:hAnsi="仿宋" w:eastAsia="仿宋" w:cs="仿宋"/>
          <w:color w:val="000000"/>
          <w:sz w:val="24"/>
        </w:rPr>
        <w:t>3、中标人须免费提供1年运维服务，负责运维、培训和软件升级等工作。</w:t>
      </w:r>
    </w:p>
    <w:p>
      <w:pPr>
        <w:pStyle w:val="7"/>
        <w:spacing w:line="360" w:lineRule="auto"/>
        <w:ind w:firstLine="480"/>
        <w:rPr>
          <w:rFonts w:ascii="仿宋" w:hAnsi="仿宋" w:eastAsia="仿宋" w:cs="仿宋"/>
          <w:color w:val="000000"/>
          <w:sz w:val="24"/>
        </w:rPr>
      </w:pPr>
      <w:r>
        <w:rPr>
          <w:rFonts w:hint="eastAsia" w:ascii="仿宋" w:hAnsi="仿宋" w:eastAsia="仿宋" w:cs="仿宋"/>
          <w:color w:val="000000"/>
          <w:sz w:val="24"/>
        </w:rPr>
        <w:t>4、中标人须提供7*24的保障服务，提出的问题在2小时内做出响应并提出解决方案，若评估6小时内无法解决，24小时内供应商技术人员应到现场对故障进行处理，若短期无法解决的，应在2个工作日内提出采购人认可的解决方案并派开发人员驻场处理。</w:t>
      </w:r>
    </w:p>
    <w:p>
      <w:pPr>
        <w:rPr>
          <w:rFonts w:hint="eastAsia"/>
          <w:bCs w:val="0"/>
          <w:color w:val="000000"/>
          <w:sz w:val="44"/>
          <w:szCs w:val="44"/>
        </w:rPr>
      </w:pPr>
      <w:r>
        <w:rPr>
          <w:rFonts w:hint="eastAsia"/>
          <w:bCs w:val="0"/>
          <w:color w:val="000000"/>
          <w:sz w:val="44"/>
          <w:szCs w:val="44"/>
        </w:rPr>
        <w:br w:type="page"/>
      </w:r>
    </w:p>
    <w:p>
      <w:pPr>
        <w:pStyle w:val="3"/>
        <w:spacing w:before="100" w:after="100" w:line="240" w:lineRule="auto"/>
        <w:jc w:val="center"/>
        <w:rPr>
          <w:bCs w:val="0"/>
          <w:color w:val="000000"/>
          <w:sz w:val="44"/>
          <w:szCs w:val="44"/>
        </w:rPr>
      </w:pPr>
      <w:r>
        <w:rPr>
          <w:rFonts w:hint="eastAsia"/>
          <w:bCs w:val="0"/>
          <w:color w:val="000000"/>
          <w:sz w:val="44"/>
          <w:szCs w:val="44"/>
        </w:rPr>
        <w:t>第七章 合同</w:t>
      </w:r>
    </w:p>
    <w:bookmarkEnd w:id="53"/>
    <w:bookmarkEnd w:id="54"/>
    <w:bookmarkEnd w:id="55"/>
    <w:bookmarkEnd w:id="56"/>
    <w:bookmarkEnd w:id="57"/>
    <w:bookmarkEnd w:id="58"/>
    <w:p>
      <w:pPr>
        <w:pStyle w:val="4"/>
        <w:spacing w:before="60" w:after="60" w:line="240" w:lineRule="auto"/>
        <w:rPr>
          <w:b w:val="0"/>
          <w:bCs w:val="0"/>
          <w:color w:val="000000"/>
        </w:rPr>
      </w:pPr>
      <w:bookmarkStart w:id="61" w:name="_Toc454468384"/>
      <w:bookmarkStart w:id="62" w:name="_Toc499731947"/>
      <w:r>
        <w:rPr>
          <w:rFonts w:hint="eastAsia"/>
          <w:b w:val="0"/>
          <w:bCs w:val="0"/>
          <w:color w:val="000000"/>
        </w:rPr>
        <w:t>7.1中标通知</w:t>
      </w:r>
      <w:bookmarkEnd w:id="61"/>
      <w:bookmarkEnd w:id="62"/>
    </w:p>
    <w:p>
      <w:pPr>
        <w:spacing w:line="360" w:lineRule="auto"/>
        <w:ind w:firstLine="420" w:firstLineChars="200"/>
        <w:rPr>
          <w:rFonts w:ascii="宋体" w:hAnsi="宋体"/>
          <w:color w:val="000000"/>
          <w:szCs w:val="21"/>
        </w:rPr>
      </w:pPr>
      <w:r>
        <w:rPr>
          <w:rFonts w:hint="eastAsia" w:ascii="宋体" w:hAnsi="宋体"/>
          <w:color w:val="000000"/>
          <w:szCs w:val="21"/>
        </w:rPr>
        <w:t>7.1.1</w:t>
      </w:r>
      <w:r>
        <w:rPr>
          <w:rFonts w:ascii="宋体" w:hAnsi="宋体"/>
          <w:color w:val="000000"/>
          <w:szCs w:val="21"/>
        </w:rPr>
        <w:t xml:space="preserve">中标结果公示 </w:t>
      </w:r>
    </w:p>
    <w:p>
      <w:pPr>
        <w:spacing w:line="360" w:lineRule="auto"/>
        <w:ind w:firstLine="420" w:firstLineChars="200"/>
        <w:rPr>
          <w:rFonts w:ascii="宋体" w:hAnsi="宋体"/>
          <w:color w:val="000000"/>
          <w:szCs w:val="21"/>
        </w:rPr>
      </w:pPr>
      <w:r>
        <w:rPr>
          <w:rFonts w:ascii="宋体" w:hAnsi="宋体"/>
          <w:color w:val="000000"/>
          <w:szCs w:val="21"/>
        </w:rPr>
        <w:t>评标工作完成后，对评委会</w:t>
      </w:r>
      <w:r>
        <w:rPr>
          <w:rFonts w:hint="eastAsia" w:ascii="宋体" w:hAnsi="宋体"/>
          <w:color w:val="000000"/>
          <w:szCs w:val="21"/>
        </w:rPr>
        <w:t>推荐</w:t>
      </w:r>
      <w:r>
        <w:rPr>
          <w:rFonts w:ascii="宋体" w:hAnsi="宋体"/>
          <w:color w:val="000000"/>
          <w:szCs w:val="21"/>
        </w:rPr>
        <w:t>中标供应商</w:t>
      </w:r>
      <w:r>
        <w:rPr>
          <w:rFonts w:hint="eastAsia" w:ascii="宋体" w:hAnsi="宋体"/>
          <w:color w:val="000000"/>
          <w:szCs w:val="21"/>
        </w:rPr>
        <w:t>候选人</w:t>
      </w:r>
      <w:r>
        <w:rPr>
          <w:rFonts w:ascii="宋体" w:hAnsi="宋体"/>
          <w:color w:val="000000"/>
          <w:szCs w:val="21"/>
        </w:rPr>
        <w:t>，由招标代理机构在指定的媒体发布中标公告，公示期为</w:t>
      </w:r>
      <w:r>
        <w:rPr>
          <w:rFonts w:hint="eastAsia" w:ascii="宋体" w:hAnsi="宋体"/>
          <w:color w:val="000000"/>
          <w:szCs w:val="21"/>
        </w:rPr>
        <w:t>1</w:t>
      </w:r>
      <w:r>
        <w:rPr>
          <w:rFonts w:ascii="宋体" w:hAnsi="宋体"/>
          <w:color w:val="000000"/>
          <w:szCs w:val="21"/>
        </w:rPr>
        <w:t>天。由评委会写出评标报告和</w:t>
      </w:r>
      <w:r>
        <w:rPr>
          <w:rFonts w:hint="eastAsia" w:ascii="宋体" w:hAnsi="宋体"/>
          <w:color w:val="000000"/>
          <w:szCs w:val="21"/>
        </w:rPr>
        <w:t>推荐</w:t>
      </w:r>
      <w:r>
        <w:rPr>
          <w:rFonts w:ascii="宋体" w:hAnsi="宋体"/>
          <w:color w:val="000000"/>
          <w:szCs w:val="21"/>
        </w:rPr>
        <w:t>中标候选供应商排序，由招标代理机构公示评标结果，</w:t>
      </w:r>
      <w:r>
        <w:rPr>
          <w:rFonts w:hint="eastAsia" w:ascii="宋体" w:hAnsi="宋体"/>
          <w:color w:val="000000"/>
          <w:szCs w:val="21"/>
        </w:rPr>
        <w:t>公示期内无异议</w:t>
      </w:r>
      <w:r>
        <w:rPr>
          <w:rFonts w:ascii="宋体" w:hAnsi="宋体"/>
          <w:color w:val="000000"/>
          <w:szCs w:val="21"/>
        </w:rPr>
        <w:t>，确定评标排序第一的供应商中标。</w:t>
      </w:r>
    </w:p>
    <w:p>
      <w:pPr>
        <w:spacing w:line="360" w:lineRule="auto"/>
        <w:ind w:firstLine="420" w:firstLineChars="200"/>
        <w:rPr>
          <w:rFonts w:ascii="宋体" w:hAnsi="宋体"/>
          <w:color w:val="000000"/>
          <w:szCs w:val="21"/>
        </w:rPr>
      </w:pPr>
      <w:r>
        <w:rPr>
          <w:rFonts w:hint="eastAsia" w:ascii="宋体" w:hAnsi="宋体"/>
          <w:color w:val="000000"/>
          <w:szCs w:val="21"/>
        </w:rPr>
        <w:t>7.2.2</w:t>
      </w:r>
      <w:r>
        <w:rPr>
          <w:rFonts w:ascii="宋体" w:hAnsi="宋体"/>
          <w:color w:val="000000"/>
          <w:szCs w:val="21"/>
        </w:rPr>
        <w:t>中标通知</w:t>
      </w:r>
    </w:p>
    <w:p>
      <w:pPr>
        <w:spacing w:line="360" w:lineRule="auto"/>
        <w:ind w:firstLine="420" w:firstLineChars="200"/>
        <w:rPr>
          <w:rFonts w:ascii="宋体" w:hAnsi="宋体"/>
          <w:color w:val="000000"/>
          <w:szCs w:val="21"/>
        </w:rPr>
      </w:pPr>
      <w:r>
        <w:rPr>
          <w:rFonts w:hint="eastAsia" w:ascii="宋体" w:hAnsi="宋体"/>
          <w:color w:val="000000"/>
          <w:szCs w:val="21"/>
        </w:rPr>
        <w:t>7.2.2.1</w:t>
      </w:r>
      <w:r>
        <w:rPr>
          <w:rFonts w:ascii="宋体" w:hAnsi="宋体"/>
          <w:color w:val="000000"/>
          <w:szCs w:val="21"/>
        </w:rPr>
        <w:t>公示期结束后，按照规定程序给排序第一的供应商核发中标通知书。中标供应商因不可抗力或者自身原因不能履行政府采购合同的，采购人必须提供由中标供应商签字的弃标确认书，采购人方可与评标排序的预中标候选供应商签订采购合同，依次类推。</w:t>
      </w:r>
    </w:p>
    <w:p>
      <w:pPr>
        <w:spacing w:line="360" w:lineRule="auto"/>
        <w:ind w:firstLine="420" w:firstLineChars="200"/>
        <w:rPr>
          <w:rFonts w:ascii="宋体" w:hAnsi="宋体"/>
          <w:color w:val="000000"/>
          <w:szCs w:val="21"/>
        </w:rPr>
      </w:pPr>
      <w:r>
        <w:rPr>
          <w:rFonts w:hint="eastAsia" w:ascii="宋体" w:hAnsi="宋体"/>
          <w:color w:val="000000"/>
          <w:szCs w:val="21"/>
        </w:rPr>
        <w:t>7.2.2.2</w:t>
      </w:r>
      <w:r>
        <w:rPr>
          <w:rFonts w:ascii="宋体" w:hAnsi="宋体"/>
          <w:color w:val="000000"/>
          <w:szCs w:val="21"/>
        </w:rPr>
        <w:t>中标通知书是采购合同的组成部分。</w:t>
      </w:r>
    </w:p>
    <w:p>
      <w:pPr>
        <w:pStyle w:val="4"/>
        <w:spacing w:before="60" w:after="60" w:line="240" w:lineRule="auto"/>
        <w:rPr>
          <w:b w:val="0"/>
          <w:color w:val="000000"/>
        </w:rPr>
      </w:pPr>
      <w:bookmarkStart w:id="63" w:name="_Toc499731949"/>
      <w:bookmarkStart w:id="64" w:name="_Toc454468386"/>
      <w:r>
        <w:rPr>
          <w:rFonts w:hint="eastAsia"/>
          <w:b w:val="0"/>
          <w:color w:val="000000"/>
        </w:rPr>
        <w:t>7.4 签订合同</w:t>
      </w:r>
      <w:bookmarkEnd w:id="63"/>
      <w:bookmarkEnd w:id="64"/>
    </w:p>
    <w:p>
      <w:pPr>
        <w:spacing w:line="490" w:lineRule="atLeast"/>
        <w:ind w:firstLine="420" w:firstLineChars="200"/>
        <w:jc w:val="left"/>
        <w:rPr>
          <w:rFonts w:ascii="宋体" w:hAnsi="宋体"/>
          <w:color w:val="000000"/>
          <w:szCs w:val="21"/>
        </w:rPr>
      </w:pPr>
      <w:r>
        <w:rPr>
          <w:rFonts w:hint="eastAsia" w:ascii="宋体" w:hAnsi="宋体"/>
          <w:color w:val="000000"/>
          <w:szCs w:val="21"/>
        </w:rPr>
        <w:t>7.4.1中标人应按招标人规定时间、地点与招标人签订合同。</w:t>
      </w:r>
    </w:p>
    <w:p>
      <w:pPr>
        <w:spacing w:line="490" w:lineRule="atLeast"/>
        <w:ind w:firstLine="420" w:firstLineChars="200"/>
        <w:jc w:val="left"/>
        <w:rPr>
          <w:rFonts w:ascii="宋体" w:hAnsi="宋体"/>
          <w:color w:val="000000"/>
          <w:szCs w:val="21"/>
        </w:rPr>
      </w:pPr>
      <w:r>
        <w:rPr>
          <w:rFonts w:hint="eastAsia" w:ascii="宋体" w:hAnsi="宋体"/>
          <w:color w:val="000000"/>
          <w:szCs w:val="21"/>
        </w:rPr>
        <w:t>7.4.2招标文件、中标人的投标文件等均作为合同附件，合同附件及本项目的招标文件等均为合同不可分割之一部分。</w:t>
      </w:r>
    </w:p>
    <w:p>
      <w:pPr>
        <w:spacing w:line="490" w:lineRule="atLeast"/>
        <w:ind w:firstLine="420" w:firstLineChars="200"/>
        <w:jc w:val="left"/>
        <w:rPr>
          <w:rFonts w:ascii="宋体" w:hAnsi="宋体"/>
          <w:color w:val="000000"/>
          <w:szCs w:val="21"/>
        </w:rPr>
      </w:pPr>
      <w:r>
        <w:rPr>
          <w:rFonts w:hint="eastAsia" w:ascii="宋体" w:hAnsi="宋体"/>
          <w:color w:val="000000"/>
          <w:szCs w:val="21"/>
        </w:rPr>
        <w:t>7.4.3拒签合同的责任</w:t>
      </w:r>
    </w:p>
    <w:p>
      <w:pPr>
        <w:spacing w:line="490" w:lineRule="atLeast"/>
        <w:ind w:firstLine="420" w:firstLineChars="200"/>
        <w:jc w:val="left"/>
        <w:rPr>
          <w:rFonts w:ascii="宋体" w:hAnsi="宋体"/>
          <w:color w:val="000000"/>
          <w:szCs w:val="21"/>
        </w:rPr>
      </w:pPr>
      <w:r>
        <w:rPr>
          <w:rFonts w:hint="eastAsia" w:ascii="宋体" w:hAnsi="宋体"/>
          <w:color w:val="000000"/>
          <w:szCs w:val="21"/>
        </w:rPr>
        <w:t xml:space="preserve">中标人接到招标人的中标通知电话后，在规定时间内借故否认招标文件的实质性内容和已经承诺的条件而拒签合同者，以投标违约处理，招标人可取消其中标资格，另选中标单位。      </w:t>
      </w:r>
    </w:p>
    <w:p>
      <w:pPr>
        <w:adjustRightInd w:val="0"/>
        <w:snapToGrid w:val="0"/>
        <w:spacing w:line="480" w:lineRule="atLeast"/>
        <w:ind w:firstLine="420" w:firstLineChars="200"/>
        <w:rPr>
          <w:rFonts w:ascii="宋体" w:hAnsi="宋体"/>
          <w:color w:val="000000"/>
          <w:szCs w:val="21"/>
        </w:rPr>
      </w:pPr>
      <w:r>
        <w:rPr>
          <w:rFonts w:hint="eastAsia" w:ascii="宋体" w:hAnsi="宋体"/>
          <w:color w:val="000000"/>
          <w:szCs w:val="21"/>
        </w:rPr>
        <w:t>7.5其他事项</w:t>
      </w:r>
    </w:p>
    <w:p>
      <w:pPr>
        <w:spacing w:line="490" w:lineRule="exact"/>
        <w:ind w:firstLine="420" w:firstLineChars="200"/>
        <w:rPr>
          <w:rFonts w:ascii="宋体" w:hAnsi="宋体"/>
          <w:color w:val="000000"/>
          <w:szCs w:val="21"/>
        </w:rPr>
      </w:pPr>
      <w:r>
        <w:rPr>
          <w:rFonts w:hint="eastAsia" w:ascii="宋体" w:hAnsi="宋体"/>
          <w:color w:val="000000"/>
          <w:szCs w:val="21"/>
        </w:rPr>
        <w:t>7.5.1本招标文件解释权在甲方。</w:t>
      </w:r>
    </w:p>
    <w:p>
      <w:pPr>
        <w:spacing w:line="490" w:lineRule="exact"/>
        <w:ind w:firstLine="420" w:firstLineChars="200"/>
        <w:rPr>
          <w:rFonts w:ascii="宋体" w:hAnsi="宋体"/>
          <w:color w:val="000000"/>
          <w:szCs w:val="21"/>
        </w:rPr>
      </w:pPr>
      <w:r>
        <w:rPr>
          <w:rFonts w:hint="eastAsia" w:ascii="宋体" w:hAnsi="宋体"/>
          <w:color w:val="000000"/>
          <w:szCs w:val="21"/>
        </w:rPr>
        <w:t>7.5.2投标方必须就整个项目进行报价。只就其中某类进行投标报价的投标书无效。</w:t>
      </w:r>
    </w:p>
    <w:p>
      <w:pPr>
        <w:adjustRightInd w:val="0"/>
        <w:snapToGrid w:val="0"/>
        <w:spacing w:line="480" w:lineRule="atLeast"/>
        <w:ind w:firstLine="420" w:firstLineChars="200"/>
        <w:rPr>
          <w:rFonts w:ascii="宋体" w:hAnsi="宋体"/>
          <w:color w:val="000000"/>
          <w:szCs w:val="21"/>
        </w:rPr>
      </w:pPr>
      <w:r>
        <w:rPr>
          <w:rFonts w:hint="eastAsia" w:ascii="宋体" w:hAnsi="宋体"/>
          <w:color w:val="000000"/>
          <w:szCs w:val="21"/>
        </w:rPr>
        <w:t>7.5.3若对招标文件有不解之处，可向咨询。</w:t>
      </w:r>
    </w:p>
    <w:p>
      <w:pPr>
        <w:spacing w:line="490" w:lineRule="atLeast"/>
        <w:rPr>
          <w:rFonts w:ascii="宋体" w:hAnsi="宋体" w:cs="宋体"/>
          <w:b/>
          <w:color w:val="000000"/>
          <w:sz w:val="24"/>
        </w:rPr>
      </w:pPr>
    </w:p>
    <w:p>
      <w:pPr>
        <w:pStyle w:val="24"/>
        <w:snapToGrid w:val="0"/>
        <w:spacing w:line="360" w:lineRule="auto"/>
        <w:ind w:firstLineChars="0"/>
        <w:rPr>
          <w:rStyle w:val="23"/>
          <w:rFonts w:ascii="宋体" w:hAnsi="宋体"/>
          <w:color w:val="000000"/>
          <w:szCs w:val="21"/>
        </w:rPr>
      </w:pPr>
    </w:p>
    <w:p>
      <w:pPr>
        <w:pStyle w:val="22"/>
        <w:ind w:left="420" w:firstLine="0" w:firstLineChars="0"/>
        <w:rPr>
          <w:rFonts w:ascii="宋体" w:hAnsi="宋体" w:eastAsia="宋体" w:cs="宋体"/>
          <w:sz w:val="24"/>
          <w:szCs w:val="24"/>
        </w:rPr>
      </w:pPr>
    </w:p>
    <w:p>
      <w:pPr>
        <w:spacing w:line="360" w:lineRule="auto"/>
        <w:ind w:firstLine="420" w:firstLineChars="200"/>
        <w:rPr>
          <w:rFonts w:ascii="宋体" w:hAnsi="宋体"/>
          <w:color w:val="000000"/>
          <w:szCs w:val="21"/>
        </w:rPr>
      </w:pPr>
    </w:p>
    <w:p>
      <w:pPr>
        <w:spacing w:line="360" w:lineRule="auto"/>
        <w:ind w:firstLine="420" w:firstLineChars="200"/>
        <w:rPr>
          <w:rFonts w:ascii="宋体" w:hAnsi="宋体"/>
          <w:color w:val="000000"/>
          <w:szCs w:val="21"/>
        </w:rPr>
      </w:pPr>
    </w:p>
    <w:p>
      <w:pPr>
        <w:pStyle w:val="20"/>
        <w:jc w:val="left"/>
        <w:rPr>
          <w:rFonts w:hAnsi="宋体"/>
          <w:b/>
          <w:color w:val="000000"/>
          <w:sz w:val="28"/>
          <w:szCs w:val="22"/>
        </w:rPr>
      </w:pPr>
      <w:r>
        <w:rPr>
          <w:rFonts w:hint="eastAsia" w:hAnsi="宋体"/>
          <w:b/>
          <w:color w:val="000000"/>
          <w:sz w:val="28"/>
          <w:szCs w:val="22"/>
        </w:rPr>
        <w:t>附件1                      授权委托书</w:t>
      </w:r>
    </w:p>
    <w:p>
      <w:pPr>
        <w:jc w:val="center"/>
        <w:rPr>
          <w:rFonts w:ascii="宋体" w:hAnsi="宋体"/>
          <w:b/>
          <w:color w:val="000000"/>
          <w:sz w:val="28"/>
        </w:rPr>
      </w:pPr>
      <w:r>
        <w:rPr>
          <w:rFonts w:ascii="宋体" w:hAnsi="宋体"/>
          <w:b/>
          <w:color w:val="000000"/>
          <w:sz w:val="28"/>
        </w:rPr>
        <w:t>（参考格式）</w:t>
      </w:r>
    </w:p>
    <w:p>
      <w:pPr>
        <w:jc w:val="center"/>
        <w:rPr>
          <w:rFonts w:ascii="宋体" w:hAnsi="宋体"/>
          <w:b/>
          <w:color w:val="000000"/>
          <w:sz w:val="28"/>
        </w:rPr>
      </w:pPr>
    </w:p>
    <w:p>
      <w:pPr>
        <w:spacing w:line="520" w:lineRule="exact"/>
        <w:ind w:firstLine="990"/>
        <w:rPr>
          <w:rFonts w:ascii="宋体" w:hAnsi="宋体"/>
          <w:color w:val="000000"/>
          <w:sz w:val="24"/>
        </w:rPr>
      </w:pPr>
      <w:r>
        <w:rPr>
          <w:rFonts w:hint="eastAsia" w:ascii="宋体" w:hAnsi="宋体"/>
          <w:color w:val="000000"/>
          <w:sz w:val="24"/>
        </w:rPr>
        <w:t>本授权书声明：注册于</w:t>
      </w:r>
      <w:r>
        <w:rPr>
          <w:rFonts w:hint="eastAsia" w:ascii="宋体" w:hAnsi="宋体"/>
          <w:color w:val="000000"/>
          <w:sz w:val="24"/>
          <w:u w:val="single"/>
        </w:rPr>
        <w:t xml:space="preserve">      省（市）</w:t>
      </w:r>
      <w:r>
        <w:rPr>
          <w:rFonts w:hint="eastAsia" w:ascii="宋体" w:hAnsi="宋体"/>
          <w:color w:val="000000"/>
          <w:sz w:val="24"/>
        </w:rPr>
        <w:t xml:space="preserve"> 的公司的（法人代表姓名、职务）代本公司授予 (被授权人的姓名、职务)为公司的合法代理人，就招标编号为________的_________项目投标及合同的执行、完成和保修，以本公司名义处理一切与之有关的事务。</w:t>
      </w:r>
    </w:p>
    <w:p>
      <w:pPr>
        <w:rPr>
          <w:rFonts w:ascii="宋体" w:hAnsi="宋体"/>
          <w:color w:val="000000"/>
          <w:sz w:val="24"/>
        </w:rPr>
      </w:pPr>
    </w:p>
    <w:p>
      <w:pPr>
        <w:ind w:firstLine="660"/>
        <w:rPr>
          <w:rFonts w:ascii="宋体" w:hAnsi="宋体"/>
          <w:color w:val="000000"/>
          <w:sz w:val="24"/>
        </w:rPr>
      </w:pPr>
      <w:r>
        <w:rPr>
          <w:rFonts w:hint="eastAsia" w:ascii="宋体" w:hAnsi="宋体"/>
          <w:color w:val="000000"/>
          <w:sz w:val="24"/>
        </w:rPr>
        <w:t>本授权书于年 月 日签字生效，特此声明。</w:t>
      </w:r>
    </w:p>
    <w:p>
      <w:pPr>
        <w:rPr>
          <w:rFonts w:ascii="宋体" w:hAnsi="宋体"/>
          <w:color w:val="000000"/>
          <w:sz w:val="24"/>
        </w:rPr>
      </w:pPr>
      <w:r>
        <w:rPr>
          <w:rFonts w:hint="eastAsia" w:ascii="宋体" w:hAnsi="宋体"/>
          <w:color w:val="000000"/>
          <w:sz w:val="24"/>
        </w:rPr>
        <w:t>法定代表人（签字）：</w:t>
      </w:r>
    </w:p>
    <w:p>
      <w:pPr>
        <w:rPr>
          <w:rFonts w:ascii="宋体" w:hAnsi="宋体"/>
          <w:color w:val="000000"/>
          <w:sz w:val="24"/>
          <w:u w:val="single"/>
        </w:rPr>
      </w:pPr>
      <w:r>
        <w:rPr>
          <w:rFonts w:hint="eastAsia" w:ascii="宋体" w:hAnsi="宋体"/>
          <w:color w:val="000000"/>
          <w:sz w:val="24"/>
        </w:rPr>
        <w:t>代理人(被授权人)签字：</w:t>
      </w:r>
    </w:p>
    <w:p>
      <w:pPr>
        <w:rPr>
          <w:rFonts w:ascii="宋体" w:hAnsi="宋体"/>
          <w:color w:val="000000"/>
          <w:sz w:val="24"/>
        </w:rPr>
      </w:pPr>
    </w:p>
    <w:p>
      <w:pPr>
        <w:jc w:val="right"/>
        <w:rPr>
          <w:rFonts w:ascii="宋体" w:hAnsi="宋体"/>
          <w:color w:val="000000"/>
          <w:sz w:val="24"/>
          <w:u w:val="single"/>
        </w:rPr>
      </w:pPr>
      <w:r>
        <w:rPr>
          <w:rFonts w:hint="eastAsia" w:ascii="宋体" w:hAnsi="宋体"/>
          <w:color w:val="000000"/>
          <w:sz w:val="24"/>
        </w:rPr>
        <w:t>单位：（盖章）</w:t>
      </w:r>
    </w:p>
    <w:p>
      <w:pPr>
        <w:rPr>
          <w:rFonts w:ascii="宋体" w:hAnsi="宋体"/>
          <w:color w:val="000000"/>
          <w:sz w:val="24"/>
          <w:u w:val="single"/>
        </w:rPr>
      </w:pPr>
    </w:p>
    <w:p>
      <w:pPr>
        <w:wordWrap w:val="0"/>
        <w:jc w:val="right"/>
        <w:rPr>
          <w:rFonts w:ascii="宋体" w:hAnsi="宋体"/>
          <w:color w:val="000000"/>
          <w:sz w:val="24"/>
        </w:rPr>
      </w:pPr>
      <w:r>
        <w:rPr>
          <w:rFonts w:hint="eastAsia" w:ascii="宋体" w:hAnsi="宋体"/>
          <w:color w:val="000000"/>
          <w:sz w:val="24"/>
        </w:rPr>
        <w:t>年   月   日</w:t>
      </w:r>
    </w:p>
    <w:p>
      <w:pPr>
        <w:ind w:right="145"/>
        <w:jc w:val="left"/>
        <w:rPr>
          <w:rFonts w:ascii="宋体" w:hAnsi="宋体"/>
          <w:color w:val="000000"/>
          <w:sz w:val="24"/>
        </w:rPr>
      </w:pPr>
      <w:r>
        <w:rPr>
          <w:rFonts w:hint="eastAsia" w:ascii="宋体" w:hAnsi="宋体"/>
          <w:color w:val="000000"/>
          <w:sz w:val="24"/>
        </w:rPr>
        <w:t>附：法定代表人身份证及代理人身份证复印件</w:t>
      </w:r>
    </w:p>
    <w:p>
      <w:pPr>
        <w:spacing w:line="360" w:lineRule="auto"/>
        <w:ind w:firstLine="420" w:firstLineChars="200"/>
        <w:rPr>
          <w:rFonts w:ascii="宋体" w:hAnsi="宋体"/>
          <w:color w:val="000000"/>
          <w:szCs w:val="21"/>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20"/>
        <w:jc w:val="left"/>
        <w:rPr>
          <w:rFonts w:hAnsi="宋体"/>
          <w:b/>
          <w:color w:val="000000"/>
          <w:sz w:val="28"/>
          <w:szCs w:val="22"/>
        </w:rPr>
      </w:pPr>
      <w:r>
        <w:rPr>
          <w:rFonts w:hint="eastAsia" w:hAnsi="宋体"/>
          <w:b/>
          <w:color w:val="000000"/>
          <w:sz w:val="28"/>
          <w:szCs w:val="22"/>
        </w:rPr>
        <w:t xml:space="preserve">附件2                     </w:t>
      </w:r>
    </w:p>
    <w:p>
      <w:pPr>
        <w:pStyle w:val="20"/>
        <w:jc w:val="left"/>
        <w:rPr>
          <w:rFonts w:hAnsi="宋体"/>
          <w:b/>
          <w:color w:val="000000"/>
          <w:sz w:val="28"/>
          <w:szCs w:val="22"/>
        </w:rPr>
      </w:pPr>
    </w:p>
    <w:p>
      <w:pPr>
        <w:pStyle w:val="20"/>
        <w:jc w:val="center"/>
        <w:rPr>
          <w:rFonts w:hAnsi="宋体"/>
          <w:b/>
          <w:color w:val="000000"/>
          <w:sz w:val="28"/>
          <w:szCs w:val="22"/>
        </w:rPr>
      </w:pPr>
      <w:r>
        <w:rPr>
          <w:rFonts w:hint="eastAsia" w:hAnsi="宋体"/>
          <w:b/>
          <w:color w:val="000000"/>
          <w:sz w:val="28"/>
          <w:szCs w:val="22"/>
        </w:rPr>
        <w:t>开标一览表</w:t>
      </w:r>
    </w:p>
    <w:p>
      <w:pPr>
        <w:rPr>
          <w:rFonts w:ascii="宋体" w:hAnsi="宋体"/>
          <w:color w:val="000000"/>
          <w:sz w:val="24"/>
        </w:rPr>
      </w:pPr>
      <w:r>
        <w:rPr>
          <w:rFonts w:hint="eastAsia" w:ascii="宋体" w:hAnsi="宋体"/>
          <w:color w:val="000000"/>
          <w:sz w:val="28"/>
        </w:rPr>
        <w:t>投标单位（签章）：                           投标人代表签字______</w:t>
      </w:r>
    </w:p>
    <w:tbl>
      <w:tblPr>
        <w:tblStyle w:val="11"/>
        <w:tblW w:w="0" w:type="auto"/>
        <w:tblInd w:w="93" w:type="dxa"/>
        <w:tblLayout w:type="fixed"/>
        <w:tblCellMar>
          <w:top w:w="0" w:type="dxa"/>
          <w:left w:w="108" w:type="dxa"/>
          <w:bottom w:w="0" w:type="dxa"/>
          <w:right w:w="108" w:type="dxa"/>
        </w:tblCellMar>
      </w:tblPr>
      <w:tblGrid>
        <w:gridCol w:w="1995"/>
        <w:gridCol w:w="2620"/>
        <w:gridCol w:w="4760"/>
      </w:tblGrid>
      <w:tr>
        <w:tblPrEx>
          <w:tblCellMar>
            <w:top w:w="0" w:type="dxa"/>
            <w:left w:w="108" w:type="dxa"/>
            <w:bottom w:w="0" w:type="dxa"/>
            <w:right w:w="108" w:type="dxa"/>
          </w:tblCellMar>
        </w:tblPrEx>
        <w:trPr>
          <w:trHeight w:val="570" w:hRule="atLeast"/>
        </w:trPr>
        <w:tc>
          <w:tcPr>
            <w:tcW w:w="1995" w:type="dxa"/>
            <w:tcBorders>
              <w:top w:val="single" w:color="auto" w:sz="12" w:space="0"/>
              <w:left w:val="single" w:color="auto" w:sz="12" w:space="0"/>
              <w:bottom w:val="single" w:color="auto" w:sz="12" w:space="0"/>
              <w:right w:val="single" w:color="auto" w:sz="12" w:space="0"/>
            </w:tcBorders>
            <w:vAlign w:val="bottom"/>
          </w:tcPr>
          <w:p>
            <w:pPr>
              <w:widowControl/>
              <w:jc w:val="center"/>
              <w:rPr>
                <w:rFonts w:ascii="宋体" w:hAnsi="宋体" w:cs="宋体"/>
                <w:b/>
                <w:color w:val="000000"/>
                <w:kern w:val="0"/>
                <w:sz w:val="24"/>
              </w:rPr>
            </w:pPr>
            <w:r>
              <w:rPr>
                <w:rFonts w:hint="eastAsia" w:ascii="宋体" w:hAnsi="宋体" w:cs="宋体"/>
                <w:b/>
                <w:color w:val="000000"/>
                <w:kern w:val="0"/>
                <w:sz w:val="24"/>
              </w:rPr>
              <w:t>项目名称</w:t>
            </w:r>
          </w:p>
        </w:tc>
        <w:tc>
          <w:tcPr>
            <w:tcW w:w="7380" w:type="dxa"/>
            <w:gridSpan w:val="2"/>
            <w:tcBorders>
              <w:top w:val="single" w:color="auto" w:sz="12" w:space="0"/>
              <w:left w:val="nil"/>
              <w:bottom w:val="single" w:color="auto" w:sz="12" w:space="0"/>
              <w:right w:val="single" w:color="000000" w:sz="12" w:space="0"/>
            </w:tcBorders>
            <w:vAlign w:val="bottom"/>
          </w:tcPr>
          <w:p>
            <w:pPr>
              <w:widowControl/>
              <w:rPr>
                <w:rFonts w:ascii="宋体" w:hAnsi="宋体" w:cs="宋体"/>
                <w:b/>
                <w:color w:val="000000"/>
                <w:kern w:val="0"/>
                <w:sz w:val="24"/>
              </w:rPr>
            </w:pPr>
          </w:p>
        </w:tc>
      </w:tr>
      <w:tr>
        <w:tblPrEx>
          <w:tblCellMar>
            <w:top w:w="0" w:type="dxa"/>
            <w:left w:w="108" w:type="dxa"/>
            <w:bottom w:w="0" w:type="dxa"/>
            <w:right w:w="108" w:type="dxa"/>
          </w:tblCellMar>
        </w:tblPrEx>
        <w:trPr>
          <w:trHeight w:val="651" w:hRule="atLeast"/>
        </w:trPr>
        <w:tc>
          <w:tcPr>
            <w:tcW w:w="1995" w:type="dxa"/>
            <w:vMerge w:val="restart"/>
            <w:tcBorders>
              <w:top w:val="nil"/>
              <w:left w:val="single" w:color="auto" w:sz="12" w:space="0"/>
              <w:right w:val="single" w:color="auto" w:sz="12" w:space="0"/>
            </w:tcBorders>
            <w:vAlign w:val="center"/>
          </w:tcPr>
          <w:p>
            <w:pPr>
              <w:widowControl/>
              <w:rPr>
                <w:rFonts w:ascii="宋体" w:hAnsi="宋体" w:cs="宋体"/>
                <w:b/>
                <w:color w:val="000000"/>
                <w:kern w:val="0"/>
                <w:szCs w:val="21"/>
              </w:rPr>
            </w:pPr>
          </w:p>
          <w:p>
            <w:pPr>
              <w:widowControl/>
              <w:jc w:val="center"/>
              <w:rPr>
                <w:rFonts w:ascii="宋体" w:hAnsi="宋体" w:cs="宋体"/>
                <w:b/>
                <w:color w:val="000000"/>
                <w:kern w:val="0"/>
                <w:szCs w:val="21"/>
              </w:rPr>
            </w:pPr>
            <w:r>
              <w:rPr>
                <w:rFonts w:hint="eastAsia" w:ascii="宋体" w:hAnsi="宋体" w:cs="宋体"/>
                <w:b/>
                <w:color w:val="000000"/>
                <w:kern w:val="0"/>
                <w:szCs w:val="21"/>
              </w:rPr>
              <w:t>投标报价</w:t>
            </w:r>
          </w:p>
        </w:tc>
        <w:tc>
          <w:tcPr>
            <w:tcW w:w="2620" w:type="dxa"/>
            <w:vMerge w:val="restart"/>
            <w:tcBorders>
              <w:top w:val="nil"/>
              <w:left w:val="nil"/>
              <w:right w:val="single" w:color="000000" w:sz="12"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总价</w:t>
            </w:r>
          </w:p>
        </w:tc>
        <w:tc>
          <w:tcPr>
            <w:tcW w:w="4760" w:type="dxa"/>
            <w:tcBorders>
              <w:top w:val="nil"/>
              <w:left w:val="nil"/>
              <w:right w:val="single" w:color="auto" w:sz="12"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人民币小写</w:t>
            </w:r>
          </w:p>
        </w:tc>
      </w:tr>
      <w:tr>
        <w:tblPrEx>
          <w:tblCellMar>
            <w:top w:w="0" w:type="dxa"/>
            <w:left w:w="108" w:type="dxa"/>
            <w:bottom w:w="0" w:type="dxa"/>
            <w:right w:w="108" w:type="dxa"/>
          </w:tblCellMar>
        </w:tblPrEx>
        <w:trPr>
          <w:trHeight w:val="514" w:hRule="atLeast"/>
        </w:trPr>
        <w:tc>
          <w:tcPr>
            <w:tcW w:w="1995" w:type="dxa"/>
            <w:vMerge w:val="continue"/>
            <w:tcBorders>
              <w:left w:val="single" w:color="auto" w:sz="12" w:space="0"/>
              <w:right w:val="single" w:color="auto" w:sz="12" w:space="0"/>
            </w:tcBorders>
            <w:vAlign w:val="center"/>
          </w:tcPr>
          <w:p>
            <w:pPr>
              <w:widowControl/>
              <w:jc w:val="left"/>
              <w:rPr>
                <w:rFonts w:ascii="宋体" w:hAnsi="宋体" w:cs="宋体"/>
                <w:b/>
                <w:color w:val="000000"/>
                <w:kern w:val="0"/>
                <w:szCs w:val="21"/>
              </w:rPr>
            </w:pPr>
          </w:p>
        </w:tc>
        <w:tc>
          <w:tcPr>
            <w:tcW w:w="2620" w:type="dxa"/>
            <w:vMerge w:val="continue"/>
            <w:tcBorders>
              <w:left w:val="nil"/>
              <w:bottom w:val="single" w:color="000000" w:sz="12" w:space="0"/>
              <w:right w:val="single" w:color="000000" w:sz="12" w:space="0"/>
            </w:tcBorders>
            <w:vAlign w:val="bottom"/>
          </w:tcPr>
          <w:p>
            <w:pPr>
              <w:widowControl/>
              <w:jc w:val="center"/>
              <w:rPr>
                <w:rFonts w:ascii="宋体" w:hAnsi="宋体" w:cs="宋体"/>
                <w:color w:val="000000"/>
                <w:kern w:val="0"/>
                <w:sz w:val="24"/>
              </w:rPr>
            </w:pPr>
          </w:p>
        </w:tc>
        <w:tc>
          <w:tcPr>
            <w:tcW w:w="4760" w:type="dxa"/>
            <w:tcBorders>
              <w:top w:val="single" w:color="auto" w:sz="4" w:space="0"/>
              <w:left w:val="nil"/>
              <w:bottom w:val="single" w:color="auto" w:sz="12" w:space="0"/>
              <w:right w:val="single" w:color="auto" w:sz="12" w:space="0"/>
            </w:tcBorders>
            <w:vAlign w:val="bottom"/>
          </w:tcPr>
          <w:p>
            <w:pPr>
              <w:widowControl/>
              <w:jc w:val="center"/>
              <w:rPr>
                <w:rFonts w:ascii="宋体" w:hAnsi="宋体" w:cs="宋体"/>
                <w:color w:val="000000"/>
                <w:kern w:val="0"/>
                <w:sz w:val="24"/>
              </w:rPr>
            </w:pPr>
            <w:r>
              <w:rPr>
                <w:rFonts w:hint="eastAsia" w:ascii="宋体" w:hAnsi="宋体" w:cs="宋体"/>
                <w:color w:val="000000"/>
                <w:kern w:val="0"/>
                <w:sz w:val="24"/>
              </w:rPr>
              <w:t>人民币大写</w:t>
            </w:r>
          </w:p>
        </w:tc>
      </w:tr>
      <w:tr>
        <w:tblPrEx>
          <w:tblCellMar>
            <w:top w:w="0" w:type="dxa"/>
            <w:left w:w="108" w:type="dxa"/>
            <w:bottom w:w="0" w:type="dxa"/>
            <w:right w:w="108" w:type="dxa"/>
          </w:tblCellMar>
        </w:tblPrEx>
        <w:trPr>
          <w:trHeight w:val="570" w:hRule="atLeast"/>
        </w:trPr>
        <w:tc>
          <w:tcPr>
            <w:tcW w:w="1995" w:type="dxa"/>
            <w:vMerge w:val="restart"/>
            <w:tcBorders>
              <w:top w:val="single" w:color="auto" w:sz="4" w:space="0"/>
              <w:left w:val="single" w:color="auto" w:sz="12" w:space="0"/>
              <w:right w:val="single" w:color="auto" w:sz="12" w:space="0"/>
            </w:tcBorders>
            <w:vAlign w:val="center"/>
          </w:tcPr>
          <w:p>
            <w:pPr>
              <w:jc w:val="center"/>
              <w:rPr>
                <w:rFonts w:ascii="宋体" w:hAnsi="宋体" w:cs="宋体"/>
                <w:b/>
                <w:color w:val="000000"/>
                <w:kern w:val="0"/>
                <w:sz w:val="24"/>
              </w:rPr>
            </w:pPr>
            <w:r>
              <w:rPr>
                <w:rFonts w:hint="eastAsia" w:ascii="宋体" w:hAnsi="宋体" w:cs="宋体"/>
                <w:b/>
                <w:color w:val="000000"/>
                <w:kern w:val="0"/>
                <w:sz w:val="24"/>
              </w:rPr>
              <w:t>投标保证金</w:t>
            </w:r>
          </w:p>
        </w:tc>
        <w:tc>
          <w:tcPr>
            <w:tcW w:w="7380" w:type="dxa"/>
            <w:gridSpan w:val="2"/>
            <w:tcBorders>
              <w:top w:val="single" w:color="auto" w:sz="12" w:space="0"/>
              <w:left w:val="nil"/>
              <w:bottom w:val="single" w:color="auto" w:sz="12" w:space="0"/>
              <w:right w:val="single" w:color="000000" w:sz="12" w:space="0"/>
            </w:tcBorders>
            <w:vAlign w:val="bottom"/>
          </w:tcPr>
          <w:p>
            <w:pPr>
              <w:widowControl/>
              <w:jc w:val="center"/>
              <w:rPr>
                <w:rFonts w:ascii="宋体" w:hAnsi="宋体" w:cs="宋体"/>
                <w:color w:val="000000"/>
                <w:kern w:val="0"/>
                <w:sz w:val="24"/>
              </w:rPr>
            </w:pPr>
            <w:r>
              <w:rPr>
                <w:rFonts w:hint="eastAsia" w:ascii="宋体" w:hAnsi="宋体" w:cs="宋体"/>
                <w:color w:val="000000"/>
                <w:kern w:val="0"/>
                <w:sz w:val="24"/>
              </w:rPr>
              <w:t>人民币小写</w:t>
            </w:r>
          </w:p>
        </w:tc>
      </w:tr>
      <w:tr>
        <w:tblPrEx>
          <w:tblCellMar>
            <w:top w:w="0" w:type="dxa"/>
            <w:left w:w="108" w:type="dxa"/>
            <w:bottom w:w="0" w:type="dxa"/>
            <w:right w:w="108" w:type="dxa"/>
          </w:tblCellMar>
        </w:tblPrEx>
        <w:trPr>
          <w:trHeight w:val="435" w:hRule="atLeast"/>
        </w:trPr>
        <w:tc>
          <w:tcPr>
            <w:tcW w:w="1995" w:type="dxa"/>
            <w:vMerge w:val="continue"/>
            <w:tcBorders>
              <w:left w:val="single" w:color="auto" w:sz="12" w:space="0"/>
              <w:bottom w:val="single" w:color="auto" w:sz="12" w:space="0"/>
              <w:right w:val="single" w:color="auto" w:sz="12" w:space="0"/>
            </w:tcBorders>
            <w:vAlign w:val="bottom"/>
          </w:tcPr>
          <w:p>
            <w:pPr>
              <w:widowControl/>
              <w:jc w:val="center"/>
              <w:rPr>
                <w:rFonts w:ascii="宋体" w:hAnsi="宋体" w:cs="宋体"/>
                <w:b/>
                <w:color w:val="000000"/>
                <w:kern w:val="0"/>
                <w:sz w:val="24"/>
              </w:rPr>
            </w:pPr>
          </w:p>
        </w:tc>
        <w:tc>
          <w:tcPr>
            <w:tcW w:w="7380" w:type="dxa"/>
            <w:gridSpan w:val="2"/>
            <w:tcBorders>
              <w:top w:val="single" w:color="auto" w:sz="12" w:space="0"/>
              <w:left w:val="nil"/>
              <w:bottom w:val="single" w:color="auto" w:sz="12" w:space="0"/>
              <w:right w:val="single" w:color="000000" w:sz="12" w:space="0"/>
            </w:tcBorders>
            <w:vAlign w:val="bottom"/>
          </w:tcPr>
          <w:p>
            <w:pPr>
              <w:widowControl/>
              <w:jc w:val="center"/>
              <w:rPr>
                <w:rFonts w:ascii="宋体" w:hAnsi="宋体" w:cs="宋体"/>
                <w:color w:val="000000"/>
                <w:kern w:val="0"/>
                <w:sz w:val="24"/>
              </w:rPr>
            </w:pPr>
            <w:r>
              <w:rPr>
                <w:rFonts w:hint="eastAsia" w:ascii="宋体" w:hAnsi="宋体" w:cs="宋体"/>
                <w:color w:val="000000"/>
                <w:kern w:val="0"/>
                <w:sz w:val="24"/>
              </w:rPr>
              <w:t>人民币大写</w:t>
            </w:r>
          </w:p>
        </w:tc>
      </w:tr>
      <w:tr>
        <w:tblPrEx>
          <w:tblCellMar>
            <w:top w:w="0" w:type="dxa"/>
            <w:left w:w="108" w:type="dxa"/>
            <w:bottom w:w="0" w:type="dxa"/>
            <w:right w:w="108" w:type="dxa"/>
          </w:tblCellMar>
        </w:tblPrEx>
        <w:trPr>
          <w:trHeight w:val="435" w:hRule="atLeast"/>
        </w:trPr>
        <w:tc>
          <w:tcPr>
            <w:tcW w:w="1995" w:type="dxa"/>
            <w:tcBorders>
              <w:top w:val="nil"/>
              <w:left w:val="single" w:color="auto" w:sz="12" w:space="0"/>
              <w:bottom w:val="single" w:color="auto" w:sz="12" w:space="0"/>
              <w:right w:val="single" w:color="auto" w:sz="12" w:space="0"/>
            </w:tcBorders>
            <w:vAlign w:val="bottom"/>
          </w:tcPr>
          <w:p>
            <w:pPr>
              <w:widowControl/>
              <w:jc w:val="center"/>
              <w:rPr>
                <w:rFonts w:ascii="宋体" w:hAnsi="宋体" w:cs="宋体"/>
                <w:b/>
                <w:color w:val="000000"/>
                <w:kern w:val="0"/>
                <w:sz w:val="24"/>
              </w:rPr>
            </w:pPr>
            <w:r>
              <w:rPr>
                <w:rFonts w:hint="eastAsia" w:ascii="宋体" w:hAnsi="宋体" w:cs="宋体"/>
                <w:b/>
                <w:color w:val="000000"/>
                <w:kern w:val="0"/>
                <w:sz w:val="24"/>
              </w:rPr>
              <w:t>交货时间</w:t>
            </w:r>
          </w:p>
        </w:tc>
        <w:tc>
          <w:tcPr>
            <w:tcW w:w="7380" w:type="dxa"/>
            <w:gridSpan w:val="2"/>
            <w:tcBorders>
              <w:top w:val="single" w:color="auto" w:sz="4" w:space="0"/>
              <w:left w:val="nil"/>
              <w:bottom w:val="single" w:color="auto" w:sz="12" w:space="0"/>
              <w:right w:val="single" w:color="000000" w:sz="12" w:space="0"/>
            </w:tcBorders>
            <w:vAlign w:val="bottom"/>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435" w:hRule="atLeast"/>
        </w:trPr>
        <w:tc>
          <w:tcPr>
            <w:tcW w:w="1995" w:type="dxa"/>
            <w:tcBorders>
              <w:top w:val="single" w:color="auto" w:sz="12" w:space="0"/>
              <w:left w:val="single" w:color="auto" w:sz="12" w:space="0"/>
              <w:bottom w:val="single" w:color="auto" w:sz="12" w:space="0"/>
              <w:right w:val="single" w:color="auto" w:sz="12" w:space="0"/>
            </w:tcBorders>
            <w:vAlign w:val="bottom"/>
          </w:tcPr>
          <w:p>
            <w:pPr>
              <w:widowControl/>
              <w:jc w:val="center"/>
              <w:rPr>
                <w:rFonts w:ascii="宋体" w:hAnsi="宋体" w:cs="宋体"/>
                <w:b/>
                <w:color w:val="000000"/>
                <w:kern w:val="0"/>
                <w:sz w:val="24"/>
              </w:rPr>
            </w:pPr>
            <w:r>
              <w:rPr>
                <w:rFonts w:hint="eastAsia" w:ascii="宋体" w:hAnsi="宋体" w:cs="宋体"/>
                <w:b/>
                <w:color w:val="000000"/>
                <w:kern w:val="0"/>
                <w:sz w:val="24"/>
              </w:rPr>
              <w:t>交货地点</w:t>
            </w:r>
          </w:p>
        </w:tc>
        <w:tc>
          <w:tcPr>
            <w:tcW w:w="7380" w:type="dxa"/>
            <w:gridSpan w:val="2"/>
            <w:tcBorders>
              <w:top w:val="single" w:color="auto" w:sz="12" w:space="0"/>
              <w:left w:val="nil"/>
              <w:bottom w:val="single" w:color="auto" w:sz="12" w:space="0"/>
              <w:right w:val="single" w:color="000000" w:sz="12" w:space="0"/>
            </w:tcBorders>
            <w:vAlign w:val="bottom"/>
          </w:tcPr>
          <w:p>
            <w:pPr>
              <w:widowControl/>
              <w:jc w:val="center"/>
              <w:rPr>
                <w:rFonts w:ascii="宋体" w:hAnsi="宋体" w:cs="宋体"/>
                <w:color w:val="000000"/>
                <w:kern w:val="0"/>
                <w:sz w:val="24"/>
              </w:rPr>
            </w:pPr>
          </w:p>
        </w:tc>
      </w:tr>
    </w:tbl>
    <w:p>
      <w:pPr>
        <w:spacing w:line="360" w:lineRule="auto"/>
        <w:rPr>
          <w:rFonts w:ascii="宋体" w:hAnsi="宋体"/>
          <w:color w:val="000000"/>
          <w:sz w:val="24"/>
          <w:u w:val="single"/>
        </w:rPr>
      </w:pPr>
      <w:r>
        <w:rPr>
          <w:rFonts w:hint="eastAsia" w:ascii="宋体" w:hAnsi="宋体"/>
          <w:color w:val="000000"/>
          <w:sz w:val="24"/>
        </w:rPr>
        <w:t>注：</w:t>
      </w:r>
      <w:r>
        <w:rPr>
          <w:rFonts w:hint="eastAsia" w:ascii="宋体" w:hAnsi="宋体"/>
          <w:b/>
          <w:color w:val="000000"/>
          <w:szCs w:val="21"/>
          <w:u w:val="single"/>
        </w:rPr>
        <w:t>1、开标一览表请单独封装，以备开标会之用。</w:t>
      </w:r>
    </w:p>
    <w:p>
      <w:pPr>
        <w:spacing w:line="360" w:lineRule="auto"/>
        <w:ind w:firstLine="422" w:firstLineChars="200"/>
        <w:rPr>
          <w:rFonts w:ascii="宋体" w:hAnsi="宋体"/>
          <w:color w:val="000000"/>
          <w:sz w:val="24"/>
        </w:rPr>
      </w:pPr>
      <w:r>
        <w:rPr>
          <w:rFonts w:hint="eastAsia" w:ascii="宋体" w:hAnsi="宋体"/>
          <w:b/>
          <w:color w:val="000000"/>
          <w:szCs w:val="21"/>
          <w:u w:val="single"/>
        </w:rPr>
        <w:t>2、开标一览表签字、盖章后单独密封在小信封内，标明“开标一览表”字样，并将此小信封单独封装,不得与投标文件一同封装。否则</w:t>
      </w:r>
      <w:r>
        <w:rPr>
          <w:rFonts w:hint="eastAsia" w:ascii="宋体" w:hAnsi="宋体"/>
          <w:b/>
          <w:color w:val="000000"/>
          <w:u w:val="single"/>
        </w:rPr>
        <w:t>将视为不合格投标文件</w:t>
      </w:r>
      <w:r>
        <w:rPr>
          <w:rFonts w:hint="eastAsia" w:ascii="宋体" w:hAnsi="宋体"/>
          <w:b/>
          <w:color w:val="000000"/>
        </w:rPr>
        <w:t>。</w:t>
      </w:r>
    </w:p>
    <w:p>
      <w:pPr>
        <w:spacing w:line="360" w:lineRule="auto"/>
        <w:ind w:firstLine="422" w:firstLineChars="200"/>
        <w:rPr>
          <w:rFonts w:ascii="宋体" w:hAnsi="宋体"/>
          <w:b/>
          <w:color w:val="000000"/>
          <w:u w:val="single"/>
        </w:rPr>
      </w:pPr>
      <w:r>
        <w:rPr>
          <w:rFonts w:hint="eastAsia" w:ascii="宋体" w:hAnsi="宋体"/>
          <w:b/>
          <w:color w:val="000000"/>
          <w:szCs w:val="21"/>
          <w:u w:val="single"/>
        </w:rPr>
        <w:t>3、开标一览表必须同时具有签字、盖章（鲜章），否则</w:t>
      </w:r>
      <w:r>
        <w:rPr>
          <w:rFonts w:hint="eastAsia" w:ascii="宋体" w:hAnsi="宋体"/>
          <w:b/>
          <w:color w:val="000000"/>
          <w:u w:val="single"/>
        </w:rPr>
        <w:t>将视为不合格投标文件。</w:t>
      </w:r>
    </w:p>
    <w:p>
      <w:pPr>
        <w:spacing w:line="360" w:lineRule="auto"/>
        <w:ind w:firstLine="422" w:firstLineChars="200"/>
        <w:rPr>
          <w:rFonts w:ascii="宋体" w:hAnsi="宋体"/>
          <w:b/>
          <w:color w:val="000000"/>
          <w:u w:val="single"/>
        </w:rPr>
      </w:pPr>
      <w:r>
        <w:rPr>
          <w:rFonts w:hint="eastAsia" w:ascii="宋体" w:hAnsi="宋体"/>
          <w:b/>
          <w:color w:val="000000"/>
          <w:u w:val="single"/>
        </w:rPr>
        <w:t>4、</w:t>
      </w:r>
      <w:r>
        <w:rPr>
          <w:rFonts w:hint="eastAsia" w:ascii="宋体" w:hAnsi="宋体"/>
          <w:b/>
          <w:color w:val="000000"/>
          <w:szCs w:val="21"/>
          <w:u w:val="single"/>
        </w:rPr>
        <w:t>开标一览表的报价必须同时具有到大小写，否则</w:t>
      </w:r>
      <w:r>
        <w:rPr>
          <w:rFonts w:hint="eastAsia" w:ascii="宋体" w:hAnsi="宋体"/>
          <w:b/>
          <w:color w:val="000000"/>
          <w:u w:val="single"/>
        </w:rPr>
        <w:t>将视为不合格投标文件。</w:t>
      </w:r>
    </w:p>
    <w:p>
      <w:pPr>
        <w:spacing w:line="360" w:lineRule="auto"/>
        <w:ind w:firstLine="422" w:firstLineChars="200"/>
        <w:rPr>
          <w:rFonts w:ascii="宋体" w:hAnsi="宋体"/>
          <w:b/>
          <w:color w:val="000000"/>
          <w:szCs w:val="21"/>
          <w:u w:val="single"/>
        </w:rPr>
      </w:pPr>
      <w:r>
        <w:rPr>
          <w:rFonts w:hint="eastAsia" w:ascii="宋体" w:hAnsi="宋体"/>
          <w:b/>
          <w:color w:val="000000"/>
          <w:u w:val="single"/>
        </w:rPr>
        <w:t>5</w:t>
      </w:r>
      <w:r>
        <w:rPr>
          <w:rFonts w:hint="eastAsia" w:ascii="宋体" w:hAnsi="宋体"/>
          <w:b/>
          <w:color w:val="000000"/>
          <w:szCs w:val="21"/>
          <w:u w:val="single"/>
        </w:rPr>
        <w:t>、开标一览表报价总价、单价以人民币万元为单位，未按规定报价视为不合格标。</w:t>
      </w:r>
    </w:p>
    <w:p>
      <w:pPr>
        <w:rPr>
          <w:rFonts w:ascii="宋体" w:hAnsi="宋体"/>
          <w:b/>
          <w:color w:val="000000"/>
          <w:sz w:val="24"/>
        </w:rPr>
      </w:pPr>
      <w:r>
        <w:rPr>
          <w:rFonts w:hAnsi="宋体"/>
          <w:b/>
          <w:color w:val="000000"/>
          <w:u w:val="single"/>
        </w:rPr>
        <w:br w:type="page"/>
      </w:r>
      <w:r>
        <w:rPr>
          <w:rFonts w:hint="eastAsia" w:ascii="宋体" w:hAnsi="宋体"/>
          <w:b/>
          <w:color w:val="000000"/>
          <w:sz w:val="28"/>
        </w:rPr>
        <w:t>附件3                     资格后审表</w:t>
      </w:r>
    </w:p>
    <w:p>
      <w:pPr>
        <w:rPr>
          <w:rFonts w:ascii="宋体" w:hAnsi="宋体"/>
          <w:b/>
          <w:color w:val="000000"/>
          <w:sz w:val="24"/>
        </w:rPr>
      </w:pPr>
      <w:r>
        <w:rPr>
          <w:rFonts w:ascii="宋体" w:hAnsi="宋体"/>
          <w:b/>
          <w:color w:val="000000"/>
          <w:sz w:val="24"/>
        </w:rPr>
        <w:t>1</w:t>
      </w:r>
      <w:r>
        <w:rPr>
          <w:rFonts w:hint="eastAsia" w:ascii="宋体" w:hAnsi="宋体"/>
          <w:b/>
          <w:color w:val="000000"/>
          <w:sz w:val="24"/>
        </w:rPr>
        <w:t>、组织机构</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785"/>
        <w:gridCol w:w="931"/>
        <w:gridCol w:w="374"/>
        <w:gridCol w:w="1469"/>
        <w:gridCol w:w="1081"/>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89" w:type="dxa"/>
          </w:tcPr>
          <w:p>
            <w:pPr>
              <w:rPr>
                <w:rFonts w:ascii="宋体" w:hAnsi="宋体"/>
                <w:color w:val="000000"/>
                <w:sz w:val="24"/>
              </w:rPr>
            </w:pPr>
            <w:r>
              <w:rPr>
                <w:rFonts w:hint="eastAsia" w:ascii="宋体" w:hAnsi="宋体"/>
                <w:color w:val="000000"/>
                <w:sz w:val="24"/>
              </w:rPr>
              <w:t>企业名称</w:t>
            </w:r>
          </w:p>
        </w:tc>
        <w:tc>
          <w:tcPr>
            <w:tcW w:w="3090" w:type="dxa"/>
            <w:gridSpan w:val="3"/>
          </w:tcPr>
          <w:p>
            <w:pPr>
              <w:rPr>
                <w:rFonts w:ascii="宋体" w:hAnsi="宋体"/>
                <w:color w:val="000000"/>
                <w:sz w:val="24"/>
              </w:rPr>
            </w:pPr>
          </w:p>
        </w:tc>
        <w:tc>
          <w:tcPr>
            <w:tcW w:w="1469" w:type="dxa"/>
          </w:tcPr>
          <w:p>
            <w:pPr>
              <w:rPr>
                <w:rFonts w:ascii="宋体" w:hAnsi="宋体"/>
                <w:color w:val="000000"/>
                <w:sz w:val="24"/>
              </w:rPr>
            </w:pPr>
            <w:r>
              <w:rPr>
                <w:rFonts w:hint="eastAsia" w:ascii="宋体" w:hAnsi="宋体"/>
                <w:color w:val="000000"/>
                <w:sz w:val="24"/>
              </w:rPr>
              <w:t>负责人</w:t>
            </w:r>
          </w:p>
        </w:tc>
        <w:tc>
          <w:tcPr>
            <w:tcW w:w="3341" w:type="dxa"/>
            <w:gridSpan w:val="2"/>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89" w:type="dxa"/>
          </w:tcPr>
          <w:p>
            <w:pPr>
              <w:rPr>
                <w:rFonts w:ascii="宋体" w:hAnsi="宋体"/>
                <w:color w:val="000000"/>
                <w:sz w:val="24"/>
              </w:rPr>
            </w:pPr>
            <w:r>
              <w:rPr>
                <w:rFonts w:hint="eastAsia" w:ascii="宋体" w:hAnsi="宋体"/>
                <w:color w:val="000000"/>
                <w:sz w:val="24"/>
              </w:rPr>
              <w:t>注册地址</w:t>
            </w:r>
          </w:p>
        </w:tc>
        <w:tc>
          <w:tcPr>
            <w:tcW w:w="3090" w:type="dxa"/>
            <w:gridSpan w:val="3"/>
          </w:tcPr>
          <w:p>
            <w:pPr>
              <w:rPr>
                <w:rFonts w:ascii="宋体" w:hAnsi="宋体"/>
                <w:color w:val="000000"/>
                <w:sz w:val="24"/>
              </w:rPr>
            </w:pPr>
          </w:p>
        </w:tc>
        <w:tc>
          <w:tcPr>
            <w:tcW w:w="1469" w:type="dxa"/>
          </w:tcPr>
          <w:p>
            <w:pPr>
              <w:rPr>
                <w:rFonts w:ascii="宋体" w:hAnsi="宋体"/>
                <w:color w:val="000000"/>
                <w:sz w:val="24"/>
              </w:rPr>
            </w:pPr>
            <w:r>
              <w:rPr>
                <w:rFonts w:hint="eastAsia" w:ascii="宋体" w:hAnsi="宋体"/>
                <w:color w:val="000000"/>
                <w:sz w:val="24"/>
              </w:rPr>
              <w:t>邮政编码</w:t>
            </w:r>
          </w:p>
        </w:tc>
        <w:tc>
          <w:tcPr>
            <w:tcW w:w="3341" w:type="dxa"/>
            <w:gridSpan w:val="2"/>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89" w:type="dxa"/>
          </w:tcPr>
          <w:p>
            <w:pPr>
              <w:rPr>
                <w:rFonts w:ascii="宋体" w:hAnsi="宋体"/>
                <w:color w:val="000000"/>
                <w:sz w:val="24"/>
              </w:rPr>
            </w:pPr>
            <w:r>
              <w:rPr>
                <w:rFonts w:hint="eastAsia" w:ascii="宋体" w:hAnsi="宋体"/>
                <w:color w:val="000000"/>
                <w:sz w:val="24"/>
              </w:rPr>
              <w:t>成立时间</w:t>
            </w:r>
          </w:p>
        </w:tc>
        <w:tc>
          <w:tcPr>
            <w:tcW w:w="1785" w:type="dxa"/>
          </w:tcPr>
          <w:p>
            <w:pPr>
              <w:rPr>
                <w:rFonts w:ascii="宋体" w:hAnsi="宋体"/>
                <w:color w:val="000000"/>
                <w:sz w:val="24"/>
              </w:rPr>
            </w:pPr>
          </w:p>
        </w:tc>
        <w:tc>
          <w:tcPr>
            <w:tcW w:w="931" w:type="dxa"/>
          </w:tcPr>
          <w:p>
            <w:pPr>
              <w:rPr>
                <w:rFonts w:ascii="宋体" w:hAnsi="宋体"/>
                <w:color w:val="000000"/>
                <w:sz w:val="24"/>
              </w:rPr>
            </w:pPr>
            <w:r>
              <w:rPr>
                <w:rFonts w:hint="eastAsia" w:ascii="宋体" w:hAnsi="宋体"/>
                <w:color w:val="000000"/>
                <w:sz w:val="24"/>
              </w:rPr>
              <w:t>电话</w:t>
            </w:r>
          </w:p>
        </w:tc>
        <w:tc>
          <w:tcPr>
            <w:tcW w:w="1843" w:type="dxa"/>
            <w:gridSpan w:val="2"/>
          </w:tcPr>
          <w:p>
            <w:pPr>
              <w:rPr>
                <w:rFonts w:ascii="宋体" w:hAnsi="宋体"/>
                <w:color w:val="000000"/>
                <w:sz w:val="24"/>
              </w:rPr>
            </w:pPr>
          </w:p>
        </w:tc>
        <w:tc>
          <w:tcPr>
            <w:tcW w:w="1081" w:type="dxa"/>
          </w:tcPr>
          <w:p>
            <w:pPr>
              <w:rPr>
                <w:rFonts w:ascii="宋体" w:hAnsi="宋体"/>
                <w:color w:val="000000"/>
                <w:sz w:val="24"/>
              </w:rPr>
            </w:pPr>
            <w:r>
              <w:rPr>
                <w:rFonts w:hint="eastAsia" w:ascii="宋体" w:hAnsi="宋体"/>
                <w:color w:val="000000"/>
                <w:sz w:val="24"/>
              </w:rPr>
              <w:t>传真</w:t>
            </w:r>
          </w:p>
        </w:tc>
        <w:tc>
          <w:tcPr>
            <w:tcW w:w="2260" w:type="dxa"/>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5" w:hRule="atLeast"/>
          <w:jc w:val="center"/>
        </w:trPr>
        <w:tc>
          <w:tcPr>
            <w:tcW w:w="1589" w:type="dxa"/>
          </w:tcPr>
          <w:p>
            <w:pPr>
              <w:rPr>
                <w:rFonts w:ascii="宋体" w:hAnsi="宋体"/>
                <w:color w:val="000000"/>
                <w:sz w:val="24"/>
              </w:rPr>
            </w:pPr>
            <w:r>
              <w:rPr>
                <w:rFonts w:hint="eastAsia" w:ascii="宋体" w:hAnsi="宋体"/>
                <w:color w:val="000000"/>
                <w:sz w:val="24"/>
              </w:rPr>
              <w:t>企业简介</w:t>
            </w:r>
          </w:p>
        </w:tc>
        <w:tc>
          <w:tcPr>
            <w:tcW w:w="7900" w:type="dxa"/>
            <w:gridSpan w:val="6"/>
          </w:tcPr>
          <w:p>
            <w:pPr>
              <w:rPr>
                <w:rFonts w:ascii="宋体" w:hAnsi="宋体"/>
                <w:color w:val="000000"/>
                <w:sz w:val="24"/>
              </w:rPr>
            </w:pPr>
          </w:p>
        </w:tc>
      </w:tr>
    </w:tbl>
    <w:p>
      <w:pPr>
        <w:rPr>
          <w:color w:val="000000"/>
        </w:rPr>
        <w:sectPr>
          <w:headerReference r:id="rId6" w:type="default"/>
          <w:footerReference r:id="rId7" w:type="default"/>
          <w:pgSz w:w="11906" w:h="16838"/>
          <w:pgMar w:top="1701" w:right="1134" w:bottom="1440" w:left="1440" w:header="851" w:footer="992" w:gutter="0"/>
          <w:cols w:space="720" w:num="1"/>
          <w:docGrid w:type="lines" w:linePitch="312" w:charSpace="0"/>
        </w:sectPr>
      </w:pPr>
    </w:p>
    <w:p>
      <w:pPr>
        <w:rPr>
          <w:rFonts w:ascii="宋体" w:hAnsi="宋体"/>
          <w:b/>
          <w:color w:val="000000"/>
          <w:sz w:val="28"/>
        </w:rPr>
      </w:pPr>
      <w:r>
        <w:rPr>
          <w:rFonts w:hint="eastAsia" w:ascii="宋体" w:hAnsi="宋体"/>
          <w:b/>
          <w:color w:val="000000"/>
          <w:sz w:val="28"/>
        </w:rPr>
        <w:t xml:space="preserve"> 附件4</w:t>
      </w:r>
    </w:p>
    <w:p>
      <w:pPr>
        <w:spacing w:after="312" w:afterLines="100"/>
        <w:jc w:val="center"/>
        <w:rPr>
          <w:rFonts w:ascii="宋体" w:hAnsi="宋体"/>
          <w:b/>
          <w:color w:val="000000"/>
          <w:sz w:val="28"/>
          <w:szCs w:val="28"/>
        </w:rPr>
      </w:pPr>
      <w:r>
        <w:rPr>
          <w:rFonts w:hint="eastAsia" w:ascii="宋体" w:hAnsi="宋体"/>
          <w:b/>
          <w:color w:val="000000"/>
          <w:sz w:val="28"/>
        </w:rPr>
        <w:t>6.1</w:t>
      </w:r>
      <w:r>
        <w:rPr>
          <w:rFonts w:hint="eastAsia" w:ascii="宋体" w:hAnsi="宋体"/>
          <w:b/>
          <w:color w:val="000000"/>
          <w:sz w:val="28"/>
          <w:szCs w:val="28"/>
        </w:rPr>
        <w:t>形式评审记录表</w:t>
      </w:r>
    </w:p>
    <w:p>
      <w:pPr>
        <w:spacing w:line="360" w:lineRule="auto"/>
        <w:jc w:val="left"/>
        <w:rPr>
          <w:rFonts w:ascii="Tahoma" w:hAnsi="Tahoma"/>
          <w:color w:val="000000"/>
          <w:szCs w:val="21"/>
        </w:rPr>
      </w:pPr>
      <w:r>
        <w:rPr>
          <w:rFonts w:hint="eastAsia" w:ascii="宋体" w:hAnsi="宋体"/>
          <w:color w:val="000000"/>
        </w:rPr>
        <w:t>项目名称：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11"/>
        <w:gridCol w:w="2409"/>
        <w:gridCol w:w="2694"/>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vMerge w:val="restart"/>
            <w:vAlign w:val="center"/>
          </w:tcPr>
          <w:p>
            <w:pPr>
              <w:jc w:val="center"/>
              <w:rPr>
                <w:rFonts w:ascii="宋体" w:hAnsi="宋体"/>
                <w:color w:val="000000"/>
                <w:szCs w:val="44"/>
              </w:rPr>
            </w:pPr>
            <w:r>
              <w:rPr>
                <w:rFonts w:hint="eastAsia" w:ascii="宋体" w:hAnsi="宋体"/>
                <w:color w:val="000000"/>
                <w:szCs w:val="44"/>
              </w:rPr>
              <w:t>序号</w:t>
            </w:r>
          </w:p>
        </w:tc>
        <w:tc>
          <w:tcPr>
            <w:tcW w:w="4111" w:type="dxa"/>
            <w:vMerge w:val="restart"/>
            <w:vAlign w:val="center"/>
          </w:tcPr>
          <w:p>
            <w:pPr>
              <w:jc w:val="center"/>
              <w:rPr>
                <w:rFonts w:ascii="宋体" w:hAnsi="宋体"/>
                <w:color w:val="000000"/>
                <w:szCs w:val="44"/>
              </w:rPr>
            </w:pPr>
            <w:r>
              <w:rPr>
                <w:rFonts w:hint="eastAsia" w:ascii="宋体" w:hAnsi="宋体"/>
                <w:color w:val="000000"/>
                <w:szCs w:val="44"/>
              </w:rPr>
              <w:t>评审因素</w:t>
            </w:r>
          </w:p>
        </w:tc>
        <w:tc>
          <w:tcPr>
            <w:tcW w:w="8221" w:type="dxa"/>
            <w:gridSpan w:val="3"/>
            <w:vAlign w:val="center"/>
          </w:tcPr>
          <w:p>
            <w:pPr>
              <w:jc w:val="center"/>
              <w:rPr>
                <w:rFonts w:ascii="宋体" w:hAnsi="宋体"/>
                <w:color w:val="000000"/>
                <w:szCs w:val="44"/>
              </w:rPr>
            </w:pPr>
            <w:r>
              <w:rPr>
                <w:rFonts w:hint="eastAsia" w:ascii="宋体" w:hAnsi="宋体"/>
                <w:color w:val="000000"/>
                <w:szCs w:val="44"/>
              </w:rPr>
              <w:t>投标人名称及评审意见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59" w:type="dxa"/>
            <w:vMerge w:val="continue"/>
            <w:vAlign w:val="center"/>
          </w:tcPr>
          <w:p>
            <w:pPr>
              <w:jc w:val="center"/>
              <w:rPr>
                <w:rFonts w:ascii="宋体" w:hAnsi="宋体"/>
                <w:color w:val="000000"/>
                <w:szCs w:val="44"/>
              </w:rPr>
            </w:pPr>
          </w:p>
        </w:tc>
        <w:tc>
          <w:tcPr>
            <w:tcW w:w="4111" w:type="dxa"/>
            <w:vMerge w:val="continue"/>
            <w:vAlign w:val="center"/>
          </w:tcPr>
          <w:p>
            <w:pPr>
              <w:rPr>
                <w:rFonts w:ascii="宋体" w:hAnsi="宋体"/>
                <w:color w:val="000000"/>
                <w:sz w:val="22"/>
              </w:rPr>
            </w:pPr>
          </w:p>
        </w:tc>
        <w:tc>
          <w:tcPr>
            <w:tcW w:w="2409" w:type="dxa"/>
            <w:vAlign w:val="center"/>
          </w:tcPr>
          <w:p>
            <w:pPr>
              <w:jc w:val="center"/>
              <w:rPr>
                <w:rFonts w:ascii="宋体" w:hAnsi="宋体" w:cs="宋体"/>
                <w:color w:val="000000"/>
              </w:rPr>
            </w:pPr>
          </w:p>
        </w:tc>
        <w:tc>
          <w:tcPr>
            <w:tcW w:w="2694" w:type="dxa"/>
            <w:vAlign w:val="center"/>
          </w:tcPr>
          <w:p>
            <w:pPr>
              <w:jc w:val="center"/>
              <w:rPr>
                <w:rFonts w:ascii="宋体" w:hAnsi="宋体" w:cs="宋体"/>
                <w:color w:val="000000"/>
              </w:rPr>
            </w:pPr>
          </w:p>
        </w:tc>
        <w:tc>
          <w:tcPr>
            <w:tcW w:w="3118" w:type="dxa"/>
            <w:vAlign w:val="center"/>
          </w:tcPr>
          <w:p>
            <w:pPr>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jc w:val="center"/>
              <w:rPr>
                <w:rFonts w:ascii="宋体" w:hAnsi="宋体"/>
                <w:color w:val="000000"/>
                <w:szCs w:val="44"/>
              </w:rPr>
            </w:pPr>
            <w:r>
              <w:rPr>
                <w:rFonts w:hint="eastAsia" w:ascii="宋体" w:hAnsi="宋体"/>
                <w:color w:val="000000"/>
                <w:szCs w:val="44"/>
              </w:rPr>
              <w:t>1</w:t>
            </w:r>
          </w:p>
        </w:tc>
        <w:tc>
          <w:tcPr>
            <w:tcW w:w="4111" w:type="dxa"/>
            <w:vAlign w:val="center"/>
          </w:tcPr>
          <w:p>
            <w:pPr>
              <w:rPr>
                <w:rFonts w:ascii="宋体" w:hAnsi="宋体"/>
                <w:color w:val="000000"/>
                <w:szCs w:val="21"/>
              </w:rPr>
            </w:pPr>
            <w:r>
              <w:rPr>
                <w:rFonts w:hint="eastAsia" w:ascii="宋体" w:hAnsi="宋体"/>
                <w:b/>
                <w:color w:val="000000"/>
                <w:szCs w:val="21"/>
              </w:rPr>
              <w:t>投标人名称：</w:t>
            </w:r>
            <w:r>
              <w:rPr>
                <w:rFonts w:hint="eastAsia" w:ascii="宋体" w:hAnsi="宋体"/>
                <w:color w:val="000000"/>
                <w:szCs w:val="21"/>
              </w:rPr>
              <w:t>是否与营业执照一致</w:t>
            </w:r>
          </w:p>
        </w:tc>
        <w:tc>
          <w:tcPr>
            <w:tcW w:w="2409" w:type="dxa"/>
            <w:vAlign w:val="center"/>
          </w:tcPr>
          <w:p>
            <w:pPr>
              <w:jc w:val="center"/>
              <w:rPr>
                <w:rFonts w:ascii="宋体" w:hAnsi="宋体"/>
                <w:color w:val="000000"/>
                <w:szCs w:val="44"/>
              </w:rPr>
            </w:pPr>
          </w:p>
        </w:tc>
        <w:tc>
          <w:tcPr>
            <w:tcW w:w="2694" w:type="dxa"/>
            <w:vAlign w:val="center"/>
          </w:tcPr>
          <w:p>
            <w:pPr>
              <w:jc w:val="center"/>
              <w:rPr>
                <w:rFonts w:ascii="宋体" w:hAnsi="宋体"/>
                <w:color w:val="000000"/>
                <w:szCs w:val="44"/>
              </w:rPr>
            </w:pPr>
          </w:p>
        </w:tc>
        <w:tc>
          <w:tcPr>
            <w:tcW w:w="3118" w:type="dxa"/>
            <w:vAlign w:val="center"/>
          </w:tcPr>
          <w:p>
            <w:pPr>
              <w:jc w:val="center"/>
              <w:rPr>
                <w:rFonts w:ascii="宋体" w:hAnsi="宋体"/>
                <w:color w:val="000000"/>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jc w:val="center"/>
              <w:rPr>
                <w:rFonts w:ascii="宋体" w:hAnsi="宋体"/>
                <w:color w:val="000000"/>
                <w:szCs w:val="44"/>
              </w:rPr>
            </w:pPr>
            <w:r>
              <w:rPr>
                <w:rFonts w:hint="eastAsia" w:ascii="宋体" w:hAnsi="宋体"/>
                <w:color w:val="000000"/>
                <w:szCs w:val="44"/>
              </w:rPr>
              <w:t>2</w:t>
            </w:r>
          </w:p>
        </w:tc>
        <w:tc>
          <w:tcPr>
            <w:tcW w:w="4111" w:type="dxa"/>
            <w:vAlign w:val="center"/>
          </w:tcPr>
          <w:p>
            <w:pPr>
              <w:rPr>
                <w:rFonts w:ascii="宋体" w:hAnsi="宋体"/>
                <w:color w:val="000000"/>
                <w:szCs w:val="21"/>
              </w:rPr>
            </w:pPr>
            <w:r>
              <w:rPr>
                <w:rFonts w:hint="eastAsia" w:ascii="宋体" w:hAnsi="宋体"/>
                <w:b/>
                <w:color w:val="000000"/>
                <w:szCs w:val="21"/>
              </w:rPr>
              <w:t>投标函签字盖章：</w:t>
            </w:r>
            <w:r>
              <w:rPr>
                <w:rFonts w:hint="eastAsia" w:ascii="宋体" w:hAnsi="宋体"/>
                <w:color w:val="000000"/>
                <w:szCs w:val="21"/>
              </w:rPr>
              <w:t>是否按照招标文件要求进行法定代表人或其委托代理人签字或盖章</w:t>
            </w:r>
          </w:p>
        </w:tc>
        <w:tc>
          <w:tcPr>
            <w:tcW w:w="2409" w:type="dxa"/>
            <w:vAlign w:val="center"/>
          </w:tcPr>
          <w:p>
            <w:pPr>
              <w:jc w:val="center"/>
              <w:rPr>
                <w:rFonts w:ascii="宋体" w:hAnsi="宋体"/>
                <w:color w:val="000000"/>
                <w:szCs w:val="44"/>
              </w:rPr>
            </w:pPr>
          </w:p>
        </w:tc>
        <w:tc>
          <w:tcPr>
            <w:tcW w:w="2694" w:type="dxa"/>
            <w:vAlign w:val="center"/>
          </w:tcPr>
          <w:p>
            <w:pPr>
              <w:jc w:val="center"/>
              <w:rPr>
                <w:rFonts w:ascii="宋体" w:hAnsi="宋体"/>
                <w:color w:val="000000"/>
                <w:szCs w:val="44"/>
              </w:rPr>
            </w:pPr>
          </w:p>
        </w:tc>
        <w:tc>
          <w:tcPr>
            <w:tcW w:w="3118" w:type="dxa"/>
            <w:vAlign w:val="center"/>
          </w:tcPr>
          <w:p>
            <w:pPr>
              <w:jc w:val="center"/>
              <w:rPr>
                <w:rFonts w:ascii="宋体" w:hAnsi="宋体"/>
                <w:color w:val="000000"/>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jc w:val="center"/>
              <w:rPr>
                <w:rFonts w:ascii="宋体" w:hAnsi="宋体"/>
                <w:color w:val="000000"/>
                <w:szCs w:val="44"/>
              </w:rPr>
            </w:pPr>
            <w:r>
              <w:rPr>
                <w:rFonts w:hint="eastAsia" w:ascii="宋体" w:hAnsi="宋体"/>
                <w:color w:val="000000"/>
                <w:szCs w:val="44"/>
              </w:rPr>
              <w:t>3</w:t>
            </w:r>
          </w:p>
        </w:tc>
        <w:tc>
          <w:tcPr>
            <w:tcW w:w="4111" w:type="dxa"/>
            <w:vAlign w:val="center"/>
          </w:tcPr>
          <w:p>
            <w:pPr>
              <w:rPr>
                <w:rFonts w:ascii="宋体" w:hAnsi="宋体"/>
                <w:color w:val="000000"/>
                <w:szCs w:val="21"/>
              </w:rPr>
            </w:pPr>
            <w:r>
              <w:rPr>
                <w:rFonts w:hint="eastAsia" w:ascii="宋体" w:hAnsi="宋体"/>
                <w:b/>
                <w:color w:val="000000"/>
                <w:szCs w:val="21"/>
              </w:rPr>
              <w:t>投标文件格式：</w:t>
            </w:r>
            <w:r>
              <w:rPr>
                <w:rFonts w:hint="eastAsia" w:ascii="宋体" w:hAnsi="宋体"/>
                <w:color w:val="000000"/>
                <w:szCs w:val="21"/>
              </w:rPr>
              <w:t>封装等是否符合招标文件要求</w:t>
            </w:r>
          </w:p>
        </w:tc>
        <w:tc>
          <w:tcPr>
            <w:tcW w:w="2409" w:type="dxa"/>
            <w:vAlign w:val="center"/>
          </w:tcPr>
          <w:p>
            <w:pPr>
              <w:jc w:val="center"/>
              <w:rPr>
                <w:rFonts w:ascii="宋体" w:hAnsi="宋体"/>
                <w:color w:val="000000"/>
                <w:szCs w:val="44"/>
              </w:rPr>
            </w:pPr>
          </w:p>
        </w:tc>
        <w:tc>
          <w:tcPr>
            <w:tcW w:w="2694" w:type="dxa"/>
            <w:vAlign w:val="center"/>
          </w:tcPr>
          <w:p>
            <w:pPr>
              <w:jc w:val="center"/>
              <w:rPr>
                <w:rFonts w:ascii="宋体" w:hAnsi="宋体"/>
                <w:color w:val="000000"/>
                <w:szCs w:val="44"/>
              </w:rPr>
            </w:pPr>
          </w:p>
        </w:tc>
        <w:tc>
          <w:tcPr>
            <w:tcW w:w="3118" w:type="dxa"/>
            <w:vAlign w:val="center"/>
          </w:tcPr>
          <w:p>
            <w:pPr>
              <w:jc w:val="center"/>
              <w:rPr>
                <w:rFonts w:ascii="宋体" w:hAnsi="宋体"/>
                <w:color w:val="000000"/>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jc w:val="center"/>
              <w:rPr>
                <w:rFonts w:ascii="宋体" w:hAnsi="宋体"/>
                <w:color w:val="000000"/>
                <w:szCs w:val="44"/>
              </w:rPr>
            </w:pPr>
            <w:r>
              <w:rPr>
                <w:rFonts w:hint="eastAsia" w:ascii="宋体" w:hAnsi="宋体"/>
                <w:color w:val="000000"/>
                <w:szCs w:val="44"/>
              </w:rPr>
              <w:t>4</w:t>
            </w:r>
          </w:p>
        </w:tc>
        <w:tc>
          <w:tcPr>
            <w:tcW w:w="4111" w:type="dxa"/>
            <w:vAlign w:val="center"/>
          </w:tcPr>
          <w:p>
            <w:pPr>
              <w:rPr>
                <w:rFonts w:ascii="宋体" w:hAnsi="宋体"/>
                <w:color w:val="000000"/>
                <w:szCs w:val="21"/>
              </w:rPr>
            </w:pPr>
            <w:r>
              <w:rPr>
                <w:rFonts w:hint="eastAsia" w:ascii="宋体" w:hAnsi="宋体"/>
                <w:b/>
                <w:color w:val="000000"/>
                <w:szCs w:val="21"/>
              </w:rPr>
              <w:t>投标报价:</w:t>
            </w:r>
            <w:r>
              <w:rPr>
                <w:rFonts w:hint="eastAsia" w:ascii="宋体" w:hAnsi="宋体"/>
                <w:color w:val="000000"/>
                <w:szCs w:val="21"/>
              </w:rPr>
              <w:t xml:space="preserve"> 是否超出预算</w:t>
            </w:r>
          </w:p>
        </w:tc>
        <w:tc>
          <w:tcPr>
            <w:tcW w:w="2409" w:type="dxa"/>
            <w:vAlign w:val="center"/>
          </w:tcPr>
          <w:p>
            <w:pPr>
              <w:jc w:val="center"/>
              <w:rPr>
                <w:rFonts w:ascii="宋体" w:hAnsi="宋体"/>
                <w:color w:val="000000"/>
                <w:szCs w:val="44"/>
              </w:rPr>
            </w:pPr>
          </w:p>
        </w:tc>
        <w:tc>
          <w:tcPr>
            <w:tcW w:w="2694" w:type="dxa"/>
            <w:vAlign w:val="center"/>
          </w:tcPr>
          <w:p>
            <w:pPr>
              <w:jc w:val="center"/>
              <w:rPr>
                <w:rFonts w:ascii="宋体" w:hAnsi="宋体"/>
                <w:color w:val="000000"/>
                <w:szCs w:val="44"/>
              </w:rPr>
            </w:pPr>
          </w:p>
        </w:tc>
        <w:tc>
          <w:tcPr>
            <w:tcW w:w="3118" w:type="dxa"/>
            <w:vAlign w:val="center"/>
          </w:tcPr>
          <w:p>
            <w:pPr>
              <w:jc w:val="center"/>
              <w:rPr>
                <w:rFonts w:ascii="宋体" w:hAnsi="宋体"/>
                <w:color w:val="000000"/>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59" w:type="dxa"/>
            <w:vAlign w:val="center"/>
          </w:tcPr>
          <w:p>
            <w:pPr>
              <w:jc w:val="center"/>
              <w:rPr>
                <w:rFonts w:ascii="宋体" w:hAnsi="宋体"/>
                <w:color w:val="000000"/>
                <w:szCs w:val="44"/>
              </w:rPr>
            </w:pPr>
          </w:p>
          <w:p>
            <w:pPr>
              <w:jc w:val="center"/>
              <w:rPr>
                <w:rFonts w:ascii="宋体" w:hAnsi="宋体"/>
                <w:color w:val="000000"/>
                <w:szCs w:val="44"/>
              </w:rPr>
            </w:pPr>
          </w:p>
        </w:tc>
        <w:tc>
          <w:tcPr>
            <w:tcW w:w="4111" w:type="dxa"/>
            <w:vAlign w:val="center"/>
          </w:tcPr>
          <w:p>
            <w:pPr>
              <w:jc w:val="center"/>
              <w:rPr>
                <w:rFonts w:ascii="宋体" w:hAnsi="宋体"/>
                <w:b/>
                <w:color w:val="000000"/>
                <w:sz w:val="22"/>
              </w:rPr>
            </w:pPr>
            <w:r>
              <w:rPr>
                <w:rFonts w:hint="eastAsia" w:ascii="宋体" w:hAnsi="宋体"/>
                <w:b/>
                <w:color w:val="000000"/>
                <w:sz w:val="22"/>
              </w:rPr>
              <w:t>通过/未通过</w:t>
            </w:r>
          </w:p>
        </w:tc>
        <w:tc>
          <w:tcPr>
            <w:tcW w:w="2409" w:type="dxa"/>
            <w:vAlign w:val="center"/>
          </w:tcPr>
          <w:p>
            <w:pPr>
              <w:jc w:val="center"/>
              <w:rPr>
                <w:rFonts w:ascii="宋体" w:hAnsi="宋体"/>
                <w:color w:val="000000"/>
                <w:szCs w:val="44"/>
              </w:rPr>
            </w:pPr>
          </w:p>
        </w:tc>
        <w:tc>
          <w:tcPr>
            <w:tcW w:w="2694" w:type="dxa"/>
            <w:vAlign w:val="center"/>
          </w:tcPr>
          <w:p>
            <w:pPr>
              <w:jc w:val="center"/>
              <w:rPr>
                <w:rFonts w:ascii="宋体" w:hAnsi="宋体"/>
                <w:color w:val="000000"/>
                <w:szCs w:val="44"/>
              </w:rPr>
            </w:pPr>
          </w:p>
        </w:tc>
        <w:tc>
          <w:tcPr>
            <w:tcW w:w="3118" w:type="dxa"/>
            <w:vAlign w:val="center"/>
          </w:tcPr>
          <w:p>
            <w:pPr>
              <w:jc w:val="center"/>
              <w:rPr>
                <w:rFonts w:ascii="宋体" w:hAnsi="宋体"/>
                <w:color w:val="000000"/>
                <w:szCs w:val="44"/>
              </w:rPr>
            </w:pPr>
          </w:p>
        </w:tc>
      </w:tr>
    </w:tbl>
    <w:p>
      <w:pPr>
        <w:rPr>
          <w:rFonts w:ascii="宋体" w:hAnsi="宋体"/>
          <w:color w:val="000000"/>
          <w:sz w:val="22"/>
        </w:rPr>
      </w:pPr>
      <w:r>
        <w:rPr>
          <w:rFonts w:hint="eastAsia" w:ascii="宋体" w:hAnsi="宋体"/>
          <w:color w:val="000000"/>
          <w:sz w:val="22"/>
        </w:rPr>
        <w:t>以上内容如有一项未通过则初审未通过，不进入详细评审；有效的○；无效的×。</w:t>
      </w:r>
    </w:p>
    <w:p>
      <w:pPr>
        <w:rPr>
          <w:rFonts w:ascii="宋体" w:hAnsi="宋体"/>
          <w:color w:val="000000"/>
          <w:szCs w:val="44"/>
        </w:rPr>
      </w:pPr>
    </w:p>
    <w:p>
      <w:pPr>
        <w:rPr>
          <w:rFonts w:ascii="宋体" w:hAnsi="宋体"/>
          <w:color w:val="000000"/>
          <w:szCs w:val="44"/>
        </w:rPr>
      </w:pPr>
    </w:p>
    <w:p>
      <w:pPr>
        <w:widowControl/>
        <w:jc w:val="left"/>
        <w:rPr>
          <w:rFonts w:ascii="宋体" w:hAnsi="宋体"/>
          <w:b/>
          <w:color w:val="000000"/>
          <w:sz w:val="28"/>
        </w:rPr>
      </w:pPr>
      <w:r>
        <w:rPr>
          <w:rFonts w:hint="eastAsia" w:ascii="宋体" w:hAnsi="宋体"/>
          <w:color w:val="000000"/>
          <w:szCs w:val="44"/>
        </w:rPr>
        <w:t>评审委员会全体成员签名：                                                             日期   年  月  日</w:t>
      </w:r>
    </w:p>
    <w:p>
      <w:pPr>
        <w:rPr>
          <w:rFonts w:ascii="宋体" w:hAnsi="宋体"/>
          <w:b/>
          <w:color w:val="000000"/>
          <w:sz w:val="28"/>
        </w:rPr>
      </w:pPr>
    </w:p>
    <w:p>
      <w:pPr>
        <w:rPr>
          <w:color w:val="000000"/>
        </w:rPr>
        <w:sectPr>
          <w:pgSz w:w="16838" w:h="11906" w:orient="landscape"/>
          <w:pgMar w:top="1440" w:right="1701" w:bottom="1134" w:left="1440" w:header="851" w:footer="992" w:gutter="0"/>
          <w:cols w:space="720" w:num="1"/>
          <w:docGrid w:type="lines" w:linePitch="312" w:charSpace="0"/>
        </w:sectPr>
      </w:pPr>
    </w:p>
    <w:p>
      <w:pPr>
        <w:rPr>
          <w:color w:val="000000"/>
        </w:rPr>
      </w:pPr>
    </w:p>
    <w:p>
      <w:pPr>
        <w:widowControl/>
        <w:jc w:val="center"/>
        <w:rPr>
          <w:rFonts w:ascii="宋体" w:hAnsi="宋体"/>
          <w:b/>
          <w:color w:val="000000"/>
          <w:sz w:val="28"/>
        </w:rPr>
      </w:pPr>
    </w:p>
    <w:p>
      <w:pPr>
        <w:widowControl/>
        <w:jc w:val="left"/>
        <w:rPr>
          <w:rFonts w:ascii="宋体" w:hAnsi="宋体"/>
          <w:b/>
          <w:color w:val="000000"/>
          <w:sz w:val="28"/>
        </w:rPr>
      </w:pPr>
      <w:r>
        <w:rPr>
          <w:rFonts w:ascii="宋体" w:hAnsi="宋体"/>
          <w:b/>
          <w:color w:val="000000"/>
          <w:sz w:val="28"/>
        </w:rPr>
        <w:t>附件</w:t>
      </w:r>
      <w:r>
        <w:rPr>
          <w:rFonts w:hint="eastAsia" w:ascii="宋体" w:hAnsi="宋体"/>
          <w:b/>
          <w:color w:val="000000"/>
          <w:sz w:val="28"/>
        </w:rPr>
        <w:t>5    投标服务采购实施</w:t>
      </w:r>
      <w:r>
        <w:rPr>
          <w:rFonts w:ascii="宋体" w:hAnsi="宋体"/>
          <w:b/>
          <w:color w:val="000000"/>
          <w:sz w:val="28"/>
        </w:rPr>
        <w:t>计划</w:t>
      </w:r>
      <w:r>
        <w:rPr>
          <w:rFonts w:hint="eastAsia" w:ascii="宋体" w:hAnsi="宋体"/>
          <w:b/>
          <w:color w:val="000000"/>
          <w:sz w:val="28"/>
        </w:rPr>
        <w:t>、</w:t>
      </w:r>
      <w:r>
        <w:rPr>
          <w:rFonts w:ascii="宋体" w:hAnsi="宋体"/>
          <w:b/>
          <w:color w:val="000000"/>
          <w:sz w:val="28"/>
        </w:rPr>
        <w:t>方案</w:t>
      </w:r>
      <w:r>
        <w:rPr>
          <w:rFonts w:hint="eastAsia" w:ascii="宋体" w:hAnsi="宋体"/>
          <w:b/>
          <w:color w:val="000000"/>
          <w:sz w:val="28"/>
        </w:rPr>
        <w:t>、</w:t>
      </w:r>
      <w:r>
        <w:rPr>
          <w:rFonts w:ascii="宋体" w:hAnsi="宋体"/>
          <w:b/>
          <w:color w:val="000000"/>
          <w:sz w:val="28"/>
        </w:rPr>
        <w:t>进度</w:t>
      </w:r>
      <w:r>
        <w:rPr>
          <w:rFonts w:hint="eastAsia" w:ascii="宋体" w:hAnsi="宋体"/>
          <w:b/>
          <w:color w:val="000000"/>
          <w:sz w:val="28"/>
        </w:rPr>
        <w:t>及管理制度</w:t>
      </w:r>
    </w:p>
    <w:p>
      <w:pPr>
        <w:ind w:firstLine="4216" w:firstLineChars="1500"/>
        <w:rPr>
          <w:rFonts w:ascii="宋体" w:hAnsi="宋体"/>
          <w:b/>
          <w:color w:val="000000"/>
          <w:sz w:val="28"/>
        </w:rPr>
      </w:pPr>
      <w:r>
        <w:rPr>
          <w:rFonts w:hint="eastAsia" w:ascii="宋体" w:hAnsi="宋体"/>
          <w:b/>
          <w:color w:val="000000"/>
          <w:sz w:val="28"/>
        </w:rPr>
        <w:t>（格式自拟）</w:t>
      </w: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jc w:val="center"/>
        <w:rPr>
          <w:rFonts w:ascii="宋体" w:hAnsi="宋体"/>
          <w:b/>
          <w:color w:val="000000"/>
          <w:sz w:val="28"/>
        </w:rPr>
      </w:pPr>
      <w:r>
        <w:rPr>
          <w:rFonts w:hint="eastAsia" w:ascii="宋体" w:hAnsi="宋体"/>
          <w:b/>
          <w:color w:val="000000"/>
          <w:sz w:val="28"/>
        </w:rPr>
        <w:t>附件6认为需要提供的其他材料和说明</w:t>
      </w:r>
    </w:p>
    <w:p>
      <w:pPr>
        <w:jc w:val="center"/>
        <w:rPr>
          <w:rFonts w:ascii="宋体" w:hAnsi="宋体"/>
          <w:b/>
          <w:color w:val="000000"/>
          <w:sz w:val="28"/>
        </w:rPr>
      </w:pPr>
      <w:r>
        <w:rPr>
          <w:rFonts w:ascii="宋体" w:hAnsi="宋体"/>
          <w:b/>
          <w:color w:val="000000"/>
          <w:sz w:val="28"/>
        </w:rPr>
        <w:t>（格式自拟）</w:t>
      </w:r>
      <w:r>
        <w:rPr>
          <w:rFonts w:ascii="宋体" w:hAnsi="宋体"/>
          <w:b/>
          <w:color w:val="000000"/>
          <w:sz w:val="28"/>
        </w:rPr>
        <w:br w:type="page"/>
      </w:r>
      <w:r>
        <w:rPr>
          <w:rFonts w:ascii="宋体" w:hAnsi="宋体"/>
          <w:b/>
          <w:color w:val="000000"/>
          <w:sz w:val="28"/>
        </w:rPr>
        <w:t>附件</w:t>
      </w:r>
      <w:r>
        <w:rPr>
          <w:rFonts w:hint="eastAsia" w:ascii="宋体" w:hAnsi="宋体"/>
          <w:b/>
          <w:color w:val="000000"/>
          <w:sz w:val="28"/>
        </w:rPr>
        <w:t>7 服 务 承 诺</w:t>
      </w:r>
    </w:p>
    <w:p>
      <w:pPr>
        <w:jc w:val="center"/>
        <w:rPr>
          <w:rFonts w:ascii="宋体" w:hAnsi="宋体"/>
          <w:b/>
          <w:color w:val="000000"/>
          <w:sz w:val="28"/>
        </w:rPr>
      </w:pPr>
      <w:r>
        <w:rPr>
          <w:rFonts w:hint="eastAsia" w:ascii="宋体" w:hAnsi="宋体"/>
          <w:b/>
          <w:color w:val="000000"/>
          <w:sz w:val="28"/>
        </w:rPr>
        <w:t>（格式自拟）</w:t>
      </w: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ind w:firstLine="4216" w:firstLineChars="1500"/>
        <w:rPr>
          <w:rFonts w:ascii="宋体" w:hAnsi="宋体"/>
          <w:b/>
          <w:color w:val="000000"/>
          <w:sz w:val="28"/>
        </w:rPr>
      </w:pPr>
    </w:p>
    <w:p>
      <w:pPr>
        <w:rPr>
          <w:rFonts w:ascii="宋体" w:hAnsi="宋体"/>
          <w:b/>
          <w:color w:val="000000"/>
          <w:sz w:val="28"/>
        </w:rPr>
      </w:pPr>
    </w:p>
    <w:bookmarkEnd w:id="0"/>
    <w:bookmarkEnd w:id="1"/>
    <w:bookmarkEnd w:id="2"/>
    <w:bookmarkEnd w:id="3"/>
    <w:bookmarkEnd w:id="4"/>
    <w:bookmarkEnd w:id="5"/>
    <w:p>
      <w:pPr>
        <w:pStyle w:val="3"/>
        <w:spacing w:before="100" w:after="100" w:line="240" w:lineRule="auto"/>
        <w:rPr>
          <w:b w:val="0"/>
          <w:color w:val="000000"/>
        </w:rPr>
      </w:pPr>
    </w:p>
    <w:sectPr>
      <w:pgSz w:w="11906" w:h="16838"/>
      <w:pgMar w:top="1701" w:right="1134"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Book Antiqua">
    <w:panose1 w:val="02040602050305030304"/>
    <w:charset w:val="00"/>
    <w:family w:val="roman"/>
    <w:pitch w:val="default"/>
    <w:sig w:usb0="00000287" w:usb1="00000000" w:usb2="00000000" w:usb3="00000000" w:csb0="2000009F" w:csb1="DFD70000"/>
  </w:font>
  <w:font w:name="lucida Grande">
    <w:altName w:val="Times New Roman"/>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3"/>
      </w:rPr>
    </w:pPr>
    <w:r>
      <w:fldChar w:fldCharType="begin"/>
    </w:r>
    <w:r>
      <w:rPr>
        <w:rStyle w:val="13"/>
      </w:rPr>
      <w:instrText xml:space="preserve">PAGE  </w:instrTex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2" o:spid="_x0000_s4097" o:spt="202" type="#_x0000_t202" style="position:absolute;left:0pt;margin-top:0pt;height:10.35pt;width:9.0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091ABB"/>
    <w:multiLevelType w:val="singleLevel"/>
    <w:tmpl w:val="E6091ABB"/>
    <w:lvl w:ilvl="0" w:tentative="0">
      <w:start w:val="1"/>
      <w:numFmt w:val="chineseCounting"/>
      <w:suff w:val="nothing"/>
      <w:lvlText w:val="%1、"/>
      <w:lvlJc w:val="left"/>
      <w:rPr>
        <w:rFonts w:hint="eastAsia"/>
      </w:rPr>
    </w:lvl>
  </w:abstractNum>
  <w:abstractNum w:abstractNumId="1">
    <w:nsid w:val="5A7F047F"/>
    <w:multiLevelType w:val="multilevel"/>
    <w:tmpl w:val="5A7F047F"/>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D2030"/>
    <w:rsid w:val="00035677"/>
    <w:rsid w:val="00055EDB"/>
    <w:rsid w:val="00057CC6"/>
    <w:rsid w:val="000A4114"/>
    <w:rsid w:val="000E679D"/>
    <w:rsid w:val="00134FFD"/>
    <w:rsid w:val="001E29D8"/>
    <w:rsid w:val="001E3919"/>
    <w:rsid w:val="00276D97"/>
    <w:rsid w:val="002A4177"/>
    <w:rsid w:val="00330946"/>
    <w:rsid w:val="00366FAB"/>
    <w:rsid w:val="0037636D"/>
    <w:rsid w:val="003A2C5B"/>
    <w:rsid w:val="003B3103"/>
    <w:rsid w:val="003F3D1D"/>
    <w:rsid w:val="0040284F"/>
    <w:rsid w:val="004307D9"/>
    <w:rsid w:val="004A1790"/>
    <w:rsid w:val="00576870"/>
    <w:rsid w:val="00595AED"/>
    <w:rsid w:val="005F0E10"/>
    <w:rsid w:val="00665CD0"/>
    <w:rsid w:val="00672A82"/>
    <w:rsid w:val="006C2450"/>
    <w:rsid w:val="006D40D8"/>
    <w:rsid w:val="006D5E0E"/>
    <w:rsid w:val="00756C1C"/>
    <w:rsid w:val="00777B12"/>
    <w:rsid w:val="00790985"/>
    <w:rsid w:val="00791867"/>
    <w:rsid w:val="007D2030"/>
    <w:rsid w:val="00842A93"/>
    <w:rsid w:val="00851E34"/>
    <w:rsid w:val="008B30BD"/>
    <w:rsid w:val="00927365"/>
    <w:rsid w:val="00943F4E"/>
    <w:rsid w:val="00985D95"/>
    <w:rsid w:val="00996980"/>
    <w:rsid w:val="009A75A8"/>
    <w:rsid w:val="009B0339"/>
    <w:rsid w:val="00A238BA"/>
    <w:rsid w:val="00A3159D"/>
    <w:rsid w:val="00A67BD4"/>
    <w:rsid w:val="00A80BF3"/>
    <w:rsid w:val="00B929ED"/>
    <w:rsid w:val="00C354D9"/>
    <w:rsid w:val="00C46737"/>
    <w:rsid w:val="00C92400"/>
    <w:rsid w:val="00DD2EC8"/>
    <w:rsid w:val="00E03B49"/>
    <w:rsid w:val="00E20E83"/>
    <w:rsid w:val="00E26AA5"/>
    <w:rsid w:val="00E41B6C"/>
    <w:rsid w:val="00E861A8"/>
    <w:rsid w:val="00EE4220"/>
    <w:rsid w:val="00F07EEF"/>
    <w:rsid w:val="00FA067E"/>
    <w:rsid w:val="00FE30D6"/>
    <w:rsid w:val="04464FC2"/>
    <w:rsid w:val="134E28DC"/>
    <w:rsid w:val="1C00585F"/>
    <w:rsid w:val="200F0B04"/>
    <w:rsid w:val="2FAC30C0"/>
    <w:rsid w:val="32A31F27"/>
    <w:rsid w:val="50AA2715"/>
    <w:rsid w:val="63860A7D"/>
    <w:rsid w:val="748E2EEC"/>
    <w:rsid w:val="7F4E2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6"/>
    <w:qFormat/>
    <w:uiPriority w:val="9"/>
    <w:pPr>
      <w:keepNext/>
      <w:keepLines/>
      <w:spacing w:before="260" w:after="260" w:line="416" w:lineRule="auto"/>
      <w:outlineLvl w:val="2"/>
    </w:pPr>
    <w:rPr>
      <w:b/>
      <w:bCs/>
      <w:kern w:val="0"/>
      <w:sz w:val="32"/>
      <w:szCs w:val="32"/>
    </w:rPr>
  </w:style>
  <w:style w:type="paragraph" w:styleId="4">
    <w:name w:val="heading 4"/>
    <w:basedOn w:val="1"/>
    <w:next w:val="1"/>
    <w:link w:val="17"/>
    <w:qFormat/>
    <w:uiPriority w:val="9"/>
    <w:pPr>
      <w:keepNext/>
      <w:keepLines/>
      <w:spacing w:before="280" w:after="290" w:line="376" w:lineRule="auto"/>
      <w:outlineLvl w:val="3"/>
    </w:pPr>
    <w:rPr>
      <w:rFonts w:ascii="Arial" w:hAnsi="Arial" w:eastAsia="黑体"/>
      <w:b/>
      <w:bCs/>
      <w:kern w:val="0"/>
      <w:sz w:val="28"/>
      <w:szCs w:val="28"/>
    </w:rPr>
  </w:style>
  <w:style w:type="paragraph" w:styleId="5">
    <w:name w:val="heading 5"/>
    <w:basedOn w:val="1"/>
    <w:next w:val="6"/>
    <w:link w:val="26"/>
    <w:qFormat/>
    <w:uiPriority w:val="0"/>
    <w:pPr>
      <w:keepNext/>
      <w:keepLines/>
      <w:widowControl/>
      <w:topLinePunct/>
      <w:adjustRightInd w:val="0"/>
      <w:snapToGrid w:val="0"/>
      <w:spacing w:before="160" w:after="160" w:line="240" w:lineRule="atLeast"/>
      <w:jc w:val="left"/>
      <w:outlineLvl w:val="4"/>
    </w:pPr>
    <w:rPr>
      <w:rFonts w:hint="eastAsia" w:ascii="Book Antiqua" w:hAnsi="Book Antiqua" w:eastAsia="黑体" w:cs="宋体"/>
      <w:kern w:val="0"/>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6">
    <w:name w:val="Block Label"/>
    <w:basedOn w:val="1"/>
    <w:next w:val="1"/>
    <w:qFormat/>
    <w:uiPriority w:val="0"/>
    <w:pPr>
      <w:keepNext/>
      <w:keepLines/>
      <w:widowControl/>
      <w:topLinePunct/>
      <w:adjustRightInd w:val="0"/>
      <w:snapToGrid w:val="0"/>
      <w:spacing w:before="300" w:after="80" w:line="240" w:lineRule="atLeast"/>
      <w:jc w:val="left"/>
    </w:pPr>
    <w:rPr>
      <w:rFonts w:ascii="Book Antiqua" w:hAnsi="Book Antiqua" w:eastAsia="黑体" w:cs="Book Antiqua"/>
      <w:bCs/>
      <w:kern w:val="0"/>
      <w:sz w:val="26"/>
      <w:szCs w:val="26"/>
    </w:rPr>
  </w:style>
  <w:style w:type="paragraph" w:styleId="7">
    <w:name w:val="Normal Indent"/>
    <w:basedOn w:val="1"/>
    <w:semiHidden/>
    <w:unhideWhenUsed/>
    <w:qFormat/>
    <w:uiPriority w:val="0"/>
    <w:pPr>
      <w:ind w:firstLine="420" w:firstLineChars="200"/>
    </w:pPr>
  </w:style>
  <w:style w:type="paragraph" w:styleId="8">
    <w:name w:val="Plain Text"/>
    <w:basedOn w:val="1"/>
    <w:link w:val="21"/>
    <w:qFormat/>
    <w:uiPriority w:val="0"/>
    <w:pPr>
      <w:adjustRightInd w:val="0"/>
      <w:snapToGrid w:val="0"/>
      <w:spacing w:line="360" w:lineRule="auto"/>
    </w:pPr>
    <w:rPr>
      <w:rFonts w:ascii="宋体" w:hAnsi="Courier New"/>
      <w:szCs w:val="20"/>
    </w:rPr>
  </w:style>
  <w:style w:type="paragraph" w:styleId="9">
    <w:name w:val="footer"/>
    <w:basedOn w:val="1"/>
    <w:link w:val="15"/>
    <w:unhideWhenUsed/>
    <w:qFormat/>
    <w:uiPriority w:val="0"/>
    <w:pPr>
      <w:tabs>
        <w:tab w:val="center" w:pos="4153"/>
        <w:tab w:val="right" w:pos="8306"/>
      </w:tabs>
      <w:snapToGrid w:val="0"/>
      <w:jc w:val="left"/>
    </w:pPr>
    <w:rPr>
      <w:sz w:val="18"/>
      <w:szCs w:val="18"/>
    </w:rPr>
  </w:style>
  <w:style w:type="paragraph" w:styleId="10">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character" w:styleId="13">
    <w:name w:val="page number"/>
    <w:basedOn w:val="12"/>
    <w:qFormat/>
    <w:uiPriority w:val="0"/>
  </w:style>
  <w:style w:type="character" w:customStyle="1" w:styleId="14">
    <w:name w:val="页眉 字符"/>
    <w:basedOn w:val="12"/>
    <w:link w:val="10"/>
    <w:qFormat/>
    <w:uiPriority w:val="0"/>
    <w:rPr>
      <w:sz w:val="18"/>
      <w:szCs w:val="18"/>
    </w:rPr>
  </w:style>
  <w:style w:type="character" w:customStyle="1" w:styleId="15">
    <w:name w:val="页脚 字符"/>
    <w:basedOn w:val="12"/>
    <w:link w:val="9"/>
    <w:qFormat/>
    <w:uiPriority w:val="0"/>
    <w:rPr>
      <w:sz w:val="18"/>
      <w:szCs w:val="18"/>
    </w:rPr>
  </w:style>
  <w:style w:type="character" w:customStyle="1" w:styleId="16">
    <w:name w:val="标题 3 字符"/>
    <w:basedOn w:val="12"/>
    <w:link w:val="3"/>
    <w:qFormat/>
    <w:uiPriority w:val="9"/>
    <w:rPr>
      <w:rFonts w:ascii="Times New Roman" w:hAnsi="Times New Roman" w:eastAsia="宋体" w:cs="Times New Roman"/>
      <w:b/>
      <w:bCs/>
      <w:kern w:val="0"/>
      <w:sz w:val="32"/>
      <w:szCs w:val="32"/>
    </w:rPr>
  </w:style>
  <w:style w:type="character" w:customStyle="1" w:styleId="17">
    <w:name w:val="标题 4 字符"/>
    <w:basedOn w:val="12"/>
    <w:link w:val="4"/>
    <w:qFormat/>
    <w:uiPriority w:val="9"/>
    <w:rPr>
      <w:rFonts w:ascii="Arial" w:hAnsi="Arial" w:eastAsia="黑体" w:cs="Times New Roman"/>
      <w:b/>
      <w:bCs/>
      <w:kern w:val="0"/>
      <w:sz w:val="28"/>
      <w:szCs w:val="28"/>
    </w:rPr>
  </w:style>
  <w:style w:type="character" w:customStyle="1" w:styleId="18">
    <w:name w:val="纯文本 Char"/>
    <w:qFormat/>
    <w:uiPriority w:val="0"/>
    <w:rPr>
      <w:rFonts w:ascii="宋体" w:hAnsi="Courier New" w:eastAsia="宋体" w:cs="Times New Roman"/>
      <w:szCs w:val="20"/>
    </w:rPr>
  </w:style>
  <w:style w:type="character" w:customStyle="1" w:styleId="19">
    <w:name w:val="标题 1 Char Char"/>
    <w:basedOn w:val="12"/>
    <w:qFormat/>
    <w:uiPriority w:val="0"/>
    <w:rPr>
      <w:rFonts w:eastAsia="宋体"/>
      <w:b/>
      <w:spacing w:val="-2"/>
      <w:sz w:val="24"/>
      <w:lang w:val="en-US" w:eastAsia="zh-CN"/>
    </w:rPr>
  </w:style>
  <w:style w:type="paragraph" w:customStyle="1" w:styleId="20">
    <w:name w:val="正文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1">
    <w:name w:val="纯文本 字符"/>
    <w:basedOn w:val="12"/>
    <w:link w:val="8"/>
    <w:semiHidden/>
    <w:qFormat/>
    <w:uiPriority w:val="99"/>
    <w:rPr>
      <w:rFonts w:ascii="宋体" w:hAnsi="Courier New" w:eastAsia="宋体" w:cs="Courier New"/>
      <w:szCs w:val="21"/>
    </w:rPr>
  </w:style>
  <w:style w:type="paragraph" w:styleId="22">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3">
    <w:name w:val="NormalCharacter"/>
    <w:qFormat/>
    <w:uiPriority w:val="0"/>
    <w:rPr>
      <w:rFonts w:ascii="Times New Roman" w:hAnsi="Times New Roman" w:eastAsia="宋体"/>
    </w:rPr>
  </w:style>
  <w:style w:type="paragraph" w:customStyle="1" w:styleId="24">
    <w:name w:val="UserStyle_0"/>
    <w:basedOn w:val="1"/>
    <w:qFormat/>
    <w:uiPriority w:val="0"/>
    <w:pPr>
      <w:widowControl/>
      <w:ind w:firstLine="420" w:firstLineChars="200"/>
      <w:textAlignment w:val="baseline"/>
    </w:pPr>
    <w:rPr>
      <w:kern w:val="0"/>
      <w:szCs w:val="20"/>
    </w:rPr>
  </w:style>
  <w:style w:type="character" w:customStyle="1" w:styleId="25">
    <w:name w:val="标题 2 字符"/>
    <w:basedOn w:val="12"/>
    <w:link w:val="2"/>
    <w:qFormat/>
    <w:uiPriority w:val="9"/>
    <w:rPr>
      <w:rFonts w:asciiTheme="majorHAnsi" w:hAnsiTheme="majorHAnsi" w:eastAsiaTheme="majorEastAsia" w:cstheme="majorBidi"/>
      <w:b/>
      <w:bCs/>
      <w:sz w:val="32"/>
      <w:szCs w:val="32"/>
    </w:rPr>
  </w:style>
  <w:style w:type="character" w:customStyle="1" w:styleId="26">
    <w:name w:val="标题 5 字符"/>
    <w:basedOn w:val="12"/>
    <w:link w:val="5"/>
    <w:qFormat/>
    <w:uiPriority w:val="0"/>
    <w:rPr>
      <w:rFonts w:ascii="Book Antiqua" w:hAnsi="Book Antiqua" w:eastAsia="黑体" w:cs="宋体"/>
      <w:kern w:val="0"/>
      <w:sz w:val="24"/>
      <w:szCs w:val="24"/>
    </w:rPr>
  </w:style>
  <w:style w:type="character" w:customStyle="1" w:styleId="27">
    <w:name w:val="font2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902A66-65C4-4943-9102-A3B85805A21A}">
  <ds:schemaRefs/>
</ds:datastoreItem>
</file>

<file path=docProps/app.xml><?xml version="1.0" encoding="utf-8"?>
<Properties xmlns="http://schemas.openxmlformats.org/officeDocument/2006/extended-properties" xmlns:vt="http://schemas.openxmlformats.org/officeDocument/2006/docPropsVTypes">
  <Template>Normal</Template>
  <Pages>25</Pages>
  <Words>1408</Words>
  <Characters>8032</Characters>
  <Lines>66</Lines>
  <Paragraphs>18</Paragraphs>
  <TotalTime>5</TotalTime>
  <ScaleCrop>false</ScaleCrop>
  <LinksUpToDate>false</LinksUpToDate>
  <CharactersWithSpaces>9422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2019-10-10T08:02:00Z</dcterms:created>
  <dc:creator>Windows 用户</dc:creator>
  <cp:lastModifiedBy>Administrator</cp:lastModifiedBy>
  <dcterms:modified xsi:type="dcterms:W3CDTF">2021-05-13T01:03:57Z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F891181366FB48B3A699A7B62EA29DE1</vt:lpwstr>
  </property>
</Properties>
</file>