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 w:firstLineChars="600" w:firstLine="2880"/>
        <w:rPr>
          <w:rFonts w:ascii="华文中宋" w:eastAsia="华文中宋"/>
          <w:sz w:val="48"/>
          <w:szCs w:val="48"/>
        </w:rPr>
      </w:pPr>
      <w:r>
        <w:rPr>
          <w:rFonts w:ascii="华文中宋" w:eastAsia="华文中宋" w:hint="eastAsia"/>
          <w:sz w:val="48"/>
          <w:szCs w:val="48"/>
        </w:rPr>
        <w:t>招标相关要求</w:t>
      </w:r>
    </w:p>
    <w:p>
      <w:pPr>
        <w:ind w:left="0" w:firstLineChars="600" w:firstLine="2880"/>
        <w:rPr>
          <w:rFonts w:ascii="华文中宋" w:eastAsia="华文中宋" w:hint="eastAsia"/>
          <w:sz w:val="48"/>
          <w:szCs w:val="48"/>
        </w:rPr>
      </w:pPr>
    </w:p>
    <w:p>
      <w:pPr>
        <w:ind w:firstLine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一、现场纪律问题</w:t>
      </w:r>
    </w:p>
    <w:p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手机调至静音或振动状态，并分别做好备注后，由现场工作人员统一收缴保管。</w:t>
      </w:r>
    </w:p>
    <w:p>
      <w:pPr>
        <w:ind w:firstLine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二、要求：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本次招标议价，三轮报价。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在保证产品质量的前提下，以最低价格中标。如果最低价格，不能满足医院预期最低合理价格，则废标。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携带样品。</w:t>
      </w:r>
    </w:p>
    <w:p>
      <w:pPr>
        <w:ind w:firstLine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三、原则：</w:t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是否有国家医保27位编码（有的话提供编码）；</w:t>
      </w:r>
    </w:p>
    <w:p>
      <w:pPr>
        <w:numPr>
          <w:ilvl w:val="0"/>
          <w:numId w:val="2"/>
        </w:numPr>
        <w:rPr>
          <w:rFonts w:eastAsia="宋体" w:hint="eastAsia"/>
          <w:sz w:val="30"/>
          <w:szCs w:val="30"/>
          <w:lang w:eastAsia="zh-CN"/>
        </w:rPr>
      </w:pPr>
      <w:r>
        <w:rPr>
          <w:sz w:val="30"/>
          <w:szCs w:val="30"/>
        </w:rPr>
        <w:t>是否为省采购平台的产品（是的话提供省网平台的价格；</w:t>
      </w:r>
    </w:p>
    <w:p>
      <w:pPr>
        <w:numPr>
          <w:ilvl w:val="0"/>
          <w:numId w:val="2"/>
        </w:numPr>
        <w:rPr>
          <w:rFonts w:eastAsia="宋体" w:hint="eastAsia"/>
          <w:sz w:val="30"/>
          <w:szCs w:val="30"/>
          <w:lang w:eastAsia="zh-CN"/>
        </w:rPr>
      </w:pPr>
      <w:r>
        <w:rPr>
          <w:sz w:val="30"/>
          <w:szCs w:val="30"/>
        </w:rPr>
        <w:t>提供与其他医院的业务票据（价格不得高于其他医院）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0"/>
        <w:rPr>
          <w:rFonts w:ascii="黑体" w:eastAsia="黑体" w:cs="Times New Roman" w:hint="eastAsia"/>
          <w:bCs w:val="0"/>
          <w:sz w:val="32"/>
          <w:szCs w:val="32"/>
        </w:rPr>
      </w:pPr>
      <w:r>
        <w:rPr>
          <w:rFonts w:ascii="黑体" w:eastAsia="黑体" w:cs="Times New Roman" w:hint="eastAsia"/>
          <w:bCs w:val="0"/>
          <w:sz w:val="32"/>
          <w:szCs w:val="32"/>
        </w:rPr>
        <w:t>四、资格要求：</w:t>
      </w:r>
    </w:p>
    <w:p>
      <w:pPr>
        <w:pStyle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431" w:lineRule="atLeast"/>
        <w:ind w:left="0" w:right="0" w:firstLine="480"/>
        <w:rPr>
          <w:rFonts w:ascii="Calibri" w:hAnsi="Calibri" w:hint="eastAsia"/>
          <w:kern w:val="2"/>
          <w:sz w:val="30"/>
          <w:szCs w:val="30"/>
        </w:rPr>
      </w:pPr>
      <w:r>
        <w:rPr>
          <w:rFonts w:ascii="Calibri" w:hAnsi="Calibri" w:hint="eastAsia"/>
          <w:kern w:val="2"/>
          <w:sz w:val="30"/>
          <w:szCs w:val="30"/>
        </w:rPr>
        <w:t>1、经营企业提供全套经营资质。生产厂家提供全套生产资质。提供产品注册证（备案凭证），医疗器械经营许可证，各级代理商的授权。</w:t>
      </w:r>
    </w:p>
    <w:p>
      <w:pPr>
        <w:pStyle w:val="19"/>
        <w:spacing w:line="360" w:lineRule="auto"/>
        <w:ind w:left="0" w:firstLineChars="200" w:firstLine="600"/>
        <w:rPr>
          <w:rFonts w:ascii="Calibri" w:hAnsi="Calibri"/>
          <w:kern w:val="2"/>
          <w:sz w:val="30"/>
          <w:szCs w:val="30"/>
        </w:rPr>
      </w:pPr>
      <w:r>
        <w:rPr>
          <w:rFonts w:ascii="Calibri" w:hAnsi="Calibri" w:hint="eastAsia"/>
          <w:kern w:val="2"/>
          <w:sz w:val="30"/>
          <w:szCs w:val="30"/>
        </w:rPr>
        <w:t>2、在“信用中国”网站（www.creditchina.gov.cn）、“信用中国（山东）”网站（credit.shandong.gov.cn）、“中国政府采购网”网站（www.ccgp.gov.cn）中被列入失信被执行人、重大税收违法案件当事人名单、政府采购严重违法失信行为记录名单的供应商，不得参加本次谈判。本项需提供网站截图。</w:t>
      </w:r>
    </w:p>
    <w:p>
      <w:pPr>
        <w:pStyle w:val="19"/>
        <w:spacing w:line="360" w:lineRule="auto"/>
        <w:ind w:firstLine="0"/>
        <w:rPr>
          <w:rFonts w:ascii="黑体" w:eastAsia="黑体" w:cs="宋体" w:hint="eastAsia"/>
          <w:sz w:val="30"/>
          <w:szCs w:val="30"/>
        </w:rPr>
      </w:pPr>
      <w:r>
        <w:rPr>
          <w:rFonts w:ascii="黑体" w:eastAsia="黑体" w:cs="宋体" w:hint="eastAsia"/>
          <w:sz w:val="30"/>
          <w:szCs w:val="30"/>
        </w:rPr>
        <w:t>五、参与同一采购项目的供货商存在下列情形，其投标（响应）文件无效：</w:t>
      </w:r>
    </w:p>
    <w:p>
      <w:pPr>
        <w:pStyle w:val="19"/>
        <w:spacing w:line="360" w:lineRule="auto"/>
        <w:ind w:left="0" w:firstLineChars="200" w:firstLine="600"/>
        <w:rPr>
          <w:rFonts w:cs="宋体" w:hint="eastAsia"/>
          <w:sz w:val="30"/>
          <w:szCs w:val="30"/>
        </w:rPr>
      </w:pPr>
      <w:r>
        <w:rPr>
          <w:rFonts w:cs="宋体"/>
          <w:sz w:val="30"/>
          <w:szCs w:val="30"/>
        </w:rPr>
        <w:t>1</w:t>
      </w:r>
      <w:r>
        <w:rPr>
          <w:rFonts w:cs="宋体" w:hint="eastAsia"/>
          <w:sz w:val="30"/>
          <w:szCs w:val="30"/>
        </w:rPr>
        <w:t>.不同供应商的投标(响应)文件联系人为同一人或不同联系人的联系电话一致的;</w:t>
      </w:r>
    </w:p>
    <w:p>
      <w:pPr>
        <w:pStyle w:val="19"/>
        <w:spacing w:line="360" w:lineRule="auto"/>
        <w:ind w:left="0" w:firstLineChars="200" w:firstLine="600"/>
        <w:rPr>
          <w:rFonts w:cs="宋体" w:hint="eastAsia"/>
          <w:sz w:val="30"/>
          <w:szCs w:val="30"/>
        </w:rPr>
      </w:pPr>
      <w:r>
        <w:rPr>
          <w:rFonts w:cs="宋体"/>
          <w:sz w:val="30"/>
          <w:szCs w:val="30"/>
        </w:rPr>
        <w:t>2</w:t>
      </w:r>
      <w:r>
        <w:rPr>
          <w:rFonts w:cs="宋体" w:hint="eastAsia"/>
          <w:sz w:val="30"/>
          <w:szCs w:val="30"/>
        </w:rPr>
        <w:t>.不同供应商的投标(响应)文件的内容存在两处以上细节错误一致，且无法合理解释的;</w:t>
      </w:r>
    </w:p>
    <w:p>
      <w:pPr>
        <w:pStyle w:val="19"/>
        <w:spacing w:line="360" w:lineRule="auto"/>
        <w:ind w:left="0" w:firstLineChars="200" w:firstLine="600"/>
        <w:rPr>
          <w:rFonts w:cs="宋体" w:hint="eastAsia"/>
          <w:sz w:val="30"/>
          <w:szCs w:val="30"/>
        </w:rPr>
      </w:pPr>
      <w:r>
        <w:rPr>
          <w:rFonts w:cs="宋体"/>
          <w:sz w:val="30"/>
          <w:szCs w:val="30"/>
        </w:rPr>
        <w:t>3</w:t>
      </w:r>
      <w:r>
        <w:rPr>
          <w:rFonts w:cs="宋体" w:hint="eastAsia"/>
          <w:sz w:val="30"/>
          <w:szCs w:val="30"/>
        </w:rPr>
        <w:t>.不同供应商的法定代表人、委托代理人、项目经理、项目负责人等由同一个单位缴纳社会保险或者领取报酬的;</w:t>
      </w:r>
    </w:p>
    <w:p>
      <w:pPr>
        <w:pStyle w:val="19"/>
        <w:spacing w:line="360" w:lineRule="auto"/>
        <w:ind w:left="0" w:firstLineChars="200" w:firstLine="600"/>
        <w:rPr>
          <w:rFonts w:cs="宋体" w:hint="eastAsia"/>
          <w:sz w:val="30"/>
          <w:szCs w:val="30"/>
        </w:rPr>
      </w:pPr>
      <w:r>
        <w:rPr>
          <w:rFonts w:cs="宋体"/>
          <w:sz w:val="30"/>
          <w:szCs w:val="30"/>
        </w:rPr>
        <w:t>4.</w:t>
      </w:r>
      <w:r>
        <w:rPr>
          <w:rFonts w:cs="宋体" w:hint="eastAsia"/>
          <w:sz w:val="30"/>
          <w:szCs w:val="30"/>
        </w:rPr>
        <w:t>不同供应商投标(响应)文件中法定代表人或者负责人由同一人签字的;</w:t>
      </w:r>
    </w:p>
    <w:p>
      <w:pPr>
        <w:pStyle w:val="19"/>
        <w:spacing w:line="360" w:lineRule="auto"/>
        <w:ind w:left="0" w:firstLineChars="200" w:firstLine="600"/>
        <w:rPr>
          <w:rFonts w:cs="宋体"/>
          <w:sz w:val="30"/>
          <w:szCs w:val="30"/>
        </w:rPr>
      </w:pPr>
      <w:r>
        <w:rPr>
          <w:rFonts w:cs="宋体"/>
          <w:sz w:val="30"/>
          <w:szCs w:val="30"/>
        </w:rPr>
        <w:t>5.</w:t>
      </w:r>
      <w:r>
        <w:rPr>
          <w:rFonts w:cs="宋体" w:hint="eastAsia"/>
          <w:sz w:val="30"/>
          <w:szCs w:val="30"/>
        </w:rPr>
        <w:t>单位负责人为同一人或者存在控股关系、管理关系的不同单位，或同一母公司的子公司。</w:t>
      </w:r>
      <w:bookmarkStart w:id="0" w:name="_GoBack"/>
      <w:bookmarkEnd w:id="0"/>
    </w:p>
    <w:p>
      <w:pPr>
        <w:pStyle w:val="19"/>
        <w:spacing w:line="360" w:lineRule="auto"/>
        <w:ind w:firstLine="0"/>
        <w:rPr>
          <w:rFonts w:eastAsia="Calibri" w:cs="Calibri" w:hint="eastAsia"/>
          <w:b/>
          <w:bCs/>
          <w:color w:val="000000"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六、未按上述要求，提供相应资料及未携带样品的，取消其参加本次招标。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835C1314"/>
    <w:multiLevelType w:val="multilevel"/>
    <w:tmpl w:val="835C1314"/>
    <w:lvl w:ilvl="0">
      <w:start w:val="1"/>
      <w:numFmt w:val="decimal"/>
      <w:lvlRestart w:val="0"/>
      <w:lvlText w:val="%1.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ABB40122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ZDM3YmNkMzUzZjMyMmUzM2NmMDNhZTVjY2M5NjYzZD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qFormat/>
    <w:next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index 7"/>
    <w:qFormat/>
    <w:basedOn w:val="0"/>
    <w:next w:val="0"/>
    <w:pPr>
      <w:ind w:left="2520"/>
    </w:pPr>
  </w:style>
  <w:style w:type="paragraph" w:styleId="18">
    <w:name w:val="Normal (Web)"/>
    <w:qFormat/>
    <w:next w:val="16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19">
    <w:name w:val="列出段落11"/>
    <w:qFormat/>
    <w:pPr>
      <w:widowControl w:val="0"/>
      <w:ind w:firstLine="420"/>
      <w:jc w:val="both"/>
    </w:pPr>
    <w:rPr>
      <w:rFonts w:ascii="Calibri" w:eastAsia="Calibri" w:cs="Calibri" w:hAnsi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</TotalTime>
  <Application>Yozo_Office27021597764231180</Application>
  <Pages>2</Pages>
  <Words>0</Words>
  <Characters>540</Characters>
  <Lines>0</Lines>
  <Paragraphs>22</Paragraphs>
  <CharactersWithSpaces>721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2</cp:revision>
  <cp:lastPrinted>2023-07-17T02:39:07Z</cp:lastPrinted>
  <dcterms:created xsi:type="dcterms:W3CDTF">2020-07-15T10:51:00Z</dcterms:created>
  <dcterms:modified xsi:type="dcterms:W3CDTF">2023-07-17T02:39:15Z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2052-11.1.0.13012</vt:lpwstr>
  </property>
  <property fmtid="{D5CDD505-2E9C-101B-9397-08002B2CF9AE}" pid="3" name="ICV">
    <vt:lpwstr>0D18F979231746F280563B613BAC500B</vt:lpwstr>
  </property>
</Properties>
</file>