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2880" w:firstLineChars="600"/>
        <w:rPr>
          <w:rFonts w:ascii="华文中宋" w:eastAsia="华文中宋"/>
          <w:sz w:val="48"/>
          <w:szCs w:val="48"/>
        </w:rPr>
      </w:pPr>
      <w:r>
        <w:rPr>
          <w:rFonts w:hint="eastAsia" w:ascii="华文中宋" w:eastAsia="华文中宋"/>
          <w:sz w:val="48"/>
          <w:szCs w:val="48"/>
        </w:rPr>
        <w:t>招标相关要求</w:t>
      </w:r>
    </w:p>
    <w:p>
      <w:pPr>
        <w:ind w:left="0" w:firstLine="2880" w:firstLineChars="600"/>
        <w:rPr>
          <w:rFonts w:hint="eastAsia" w:ascii="华文中宋" w:eastAsia="华文中宋"/>
          <w:sz w:val="48"/>
          <w:szCs w:val="48"/>
        </w:rPr>
      </w:pPr>
    </w:p>
    <w:p>
      <w:pPr>
        <w:ind w:firstLine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一、现场纪律问题</w:t>
      </w:r>
    </w:p>
    <w:p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手机调至静音或振动状态，并分别做好备注后，由现场工作人员统一收缴保管。</w:t>
      </w:r>
    </w:p>
    <w:p>
      <w:pPr>
        <w:ind w:firstLine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二、要求：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本次招标议价，至少二轮报价。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在保证产品质量的前提下，以最低价格中标。如果最低价格，不能满足医院预期最低合理价格，则废标。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携带样品。</w:t>
      </w:r>
    </w:p>
    <w:p>
      <w:pPr>
        <w:ind w:firstLine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三、原则：</w:t>
      </w:r>
    </w:p>
    <w:p>
      <w:pPr>
        <w:ind w:left="0" w:firstLine="450" w:firstLineChars="150"/>
        <w:rPr>
          <w:rFonts w:hint="eastAsia" w:eastAsia="宋体"/>
          <w:sz w:val="30"/>
          <w:szCs w:val="30"/>
          <w:lang w:eastAsia="zh-CN"/>
        </w:rPr>
      </w:pPr>
      <w:r>
        <w:rPr>
          <w:sz w:val="30"/>
          <w:szCs w:val="30"/>
        </w:rPr>
        <w:t>一是是否有国家医保27位编码（有的话提供编码）；二是是否为省采购平台的产品（是的话提供省网平台的价格）；三是提供与其他医院的业务票据（价格不得高于其他医院）</w:t>
      </w:r>
      <w:r>
        <w:rPr>
          <w:rFonts w:hint="eastAsia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ind w:firstLine="0"/>
        <w:rPr>
          <w:rFonts w:hint="eastAsia" w:ascii="黑体" w:eastAsia="黑体" w:cs="Times New Roman"/>
          <w:bCs w:val="0"/>
          <w:sz w:val="32"/>
          <w:szCs w:val="32"/>
        </w:rPr>
      </w:pPr>
      <w:r>
        <w:rPr>
          <w:rFonts w:hint="eastAsia" w:ascii="黑体" w:eastAsia="黑体" w:cs="Times New Roman"/>
          <w:bCs w:val="0"/>
          <w:sz w:val="32"/>
          <w:szCs w:val="32"/>
        </w:rPr>
        <w:t>四、资格要求：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1" w:lineRule="atLeast"/>
        <w:ind w:left="0" w:right="0" w:firstLine="480"/>
        <w:rPr>
          <w:rFonts w:hint="eastAsia" w:ascii="Calibri" w:hAnsi="Calibri"/>
          <w:kern w:val="2"/>
          <w:sz w:val="30"/>
          <w:szCs w:val="30"/>
        </w:rPr>
      </w:pPr>
      <w:r>
        <w:rPr>
          <w:rFonts w:hint="eastAsia" w:ascii="Calibri" w:hAnsi="Calibri"/>
          <w:kern w:val="2"/>
          <w:sz w:val="30"/>
          <w:szCs w:val="30"/>
        </w:rPr>
        <w:t>1、经营企业提供全套经营资质。生产厂家提供全套生产资质。提供产品注册证（备案凭证），医疗器械经营许可证，各级代理商的授权。</w:t>
      </w:r>
    </w:p>
    <w:p>
      <w:pPr>
        <w:pStyle w:val="11"/>
        <w:spacing w:line="360" w:lineRule="auto"/>
        <w:ind w:left="0" w:firstLine="600" w:firstLineChars="200"/>
        <w:rPr>
          <w:rFonts w:ascii="Calibri" w:hAnsi="Calibri"/>
          <w:kern w:val="2"/>
          <w:sz w:val="30"/>
          <w:szCs w:val="30"/>
        </w:rPr>
      </w:pPr>
      <w:r>
        <w:rPr>
          <w:rFonts w:hint="eastAsia" w:ascii="Calibri" w:hAnsi="Calibri"/>
          <w:kern w:val="2"/>
          <w:sz w:val="30"/>
          <w:szCs w:val="30"/>
        </w:rPr>
        <w:t>2、在“信用中国”网站（www.creditchina.gov.cn）、“信用中国（山东）”网站（credit.shandong.gov.cn）、“中国政府采购网”网站（www.ccgp.gov.cn）中被列入失信被执行人、重大税收违法案件当事人名单、政府采购严重违法失信行为记录名单的供应商，不得参加本次谈判。本项需提供网站截图。</w:t>
      </w:r>
    </w:p>
    <w:p>
      <w:pPr>
        <w:pStyle w:val="11"/>
        <w:spacing w:line="360" w:lineRule="auto"/>
        <w:ind w:firstLine="0"/>
        <w:rPr>
          <w:rFonts w:hint="eastAsia" w:ascii="黑体" w:eastAsia="黑体" w:cs="宋体"/>
          <w:sz w:val="30"/>
          <w:szCs w:val="30"/>
        </w:rPr>
      </w:pPr>
      <w:r>
        <w:rPr>
          <w:rFonts w:hint="eastAsia" w:ascii="黑体" w:eastAsia="黑体" w:cs="宋体"/>
          <w:sz w:val="30"/>
          <w:szCs w:val="30"/>
        </w:rPr>
        <w:t>五、参与同一采购项目的供货商存在下列情形，其投标（响应）文件无效：</w:t>
      </w:r>
    </w:p>
    <w:p>
      <w:pPr>
        <w:pStyle w:val="11"/>
        <w:spacing w:line="360" w:lineRule="auto"/>
        <w:ind w:left="0" w:firstLine="600" w:firstLineChars="200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1.不同供应商的电子投标(响应)文件上传计算机的网卡MAC 地址、CPU 序列号和硬盘序列号等硬件信息相同的;</w:t>
      </w:r>
    </w:p>
    <w:p>
      <w:pPr>
        <w:pStyle w:val="11"/>
        <w:spacing w:line="360" w:lineRule="auto"/>
        <w:ind w:left="0" w:firstLine="600" w:firstLineChars="200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2.不同供应商的投标(响应)文件由同一电子设备编制、打印加密或者上传;</w:t>
      </w:r>
    </w:p>
    <w:p>
      <w:pPr>
        <w:pStyle w:val="11"/>
        <w:spacing w:line="360" w:lineRule="auto"/>
        <w:ind w:left="0" w:firstLine="600" w:firstLineChars="200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3.不同供应商的投标(响应)文件联系人为同一人或不同联系人的联系电话一致的;</w:t>
      </w:r>
    </w:p>
    <w:p>
      <w:pPr>
        <w:pStyle w:val="11"/>
        <w:spacing w:line="360" w:lineRule="auto"/>
        <w:ind w:left="0" w:firstLine="600" w:firstLineChars="200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4.不同供应商的投标(响应)文件的内容存在两处以上细节错误一致，且无法合理解释的;</w:t>
      </w:r>
    </w:p>
    <w:p>
      <w:pPr>
        <w:pStyle w:val="11"/>
        <w:spacing w:line="360" w:lineRule="auto"/>
        <w:ind w:left="0" w:firstLine="600" w:firstLineChars="200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5.不同供应商的法定代表人、委托代理人、项目经理、项目负责人等由同一个单位缴纳社会保险或者领取报酬的;</w:t>
      </w:r>
    </w:p>
    <w:p>
      <w:pPr>
        <w:pStyle w:val="11"/>
        <w:spacing w:line="360" w:lineRule="auto"/>
        <w:ind w:left="0" w:firstLine="600" w:firstLineChars="200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6</w:t>
      </w:r>
      <w:r>
        <w:rPr>
          <w:rFonts w:cs="宋体"/>
          <w:sz w:val="30"/>
          <w:szCs w:val="30"/>
        </w:rPr>
        <w:t>.</w:t>
      </w:r>
      <w:r>
        <w:rPr>
          <w:rFonts w:hint="eastAsia" w:cs="宋体"/>
          <w:sz w:val="30"/>
          <w:szCs w:val="30"/>
        </w:rPr>
        <w:t>不同供应商投标(响应)文件中法定代表人或者负责人由同一人签字的;</w:t>
      </w:r>
    </w:p>
    <w:p>
      <w:pPr>
        <w:pStyle w:val="11"/>
        <w:spacing w:line="360" w:lineRule="auto"/>
        <w:ind w:left="0" w:firstLine="600" w:firstLineChars="200"/>
        <w:rPr>
          <w:rFonts w:hint="eastAsia" w:eastAsia="Calibri" w:cs="Calibri"/>
          <w:color w:val="000000"/>
          <w:sz w:val="30"/>
          <w:szCs w:val="30"/>
        </w:rPr>
      </w:pPr>
      <w:r>
        <w:rPr>
          <w:rFonts w:hint="eastAsia" w:cs="宋体"/>
          <w:sz w:val="30"/>
          <w:szCs w:val="30"/>
        </w:rPr>
        <w:t>7</w:t>
      </w:r>
      <w:r>
        <w:rPr>
          <w:rFonts w:cs="宋体"/>
          <w:sz w:val="30"/>
          <w:szCs w:val="30"/>
        </w:rPr>
        <w:t>.</w:t>
      </w:r>
      <w:r>
        <w:rPr>
          <w:rFonts w:hint="eastAsia" w:cs="宋体"/>
          <w:sz w:val="30"/>
          <w:szCs w:val="30"/>
        </w:rPr>
        <w:t>单位负责人为同一人或者存在控股关系、管理关系的不同单位，或同一母公司的子公司。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C1314"/>
    <w:multiLevelType w:val="multilevel"/>
    <w:tmpl w:val="835C1314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DM3YmNkMzUzZjMyMmUzM2NmMDNhZTVjY2M5NjYzZDgifQ=="/>
  </w:docVars>
  <w:rsids>
    <w:rsidRoot w:val="00000000"/>
    <w:rsid w:val="46575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Normal (Web)"/>
    <w:next w:val="6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paragraph" w:customStyle="1" w:styleId="11">
    <w:name w:val="列出段落11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728</Words>
  <Characters>796</Characters>
  <Lines>0</Lines>
  <Paragraphs>21</Paragraphs>
  <TotalTime>1</TotalTime>
  <ScaleCrop>false</ScaleCrop>
  <LinksUpToDate>false</LinksUpToDate>
  <CharactersWithSpaces>798</CharactersWithSpaces>
  <Application>WPS Office_11.1.0.13012_F1E327BC-269C-435d-A152-05C5408002CA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林中漫步</cp:lastModifiedBy>
  <cp:lastPrinted>2022-08-04T01:41:00Z</cp:lastPrinted>
  <dcterms:modified xsi:type="dcterms:W3CDTF">2023-05-14T13:30:00Z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0D18F979231746F280563B613BAC500B</vt:lpwstr>
  </property>
</Properties>
</file>